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bidiVisual/>
        <w:tblW w:w="8820" w:type="dxa"/>
        <w:tblLook w:val="01E0" w:firstRow="1" w:lastRow="1" w:firstColumn="1" w:lastColumn="1" w:noHBand="0" w:noVBand="0"/>
      </w:tblPr>
      <w:tblGrid>
        <w:gridCol w:w="743"/>
        <w:gridCol w:w="2506"/>
        <w:gridCol w:w="5571"/>
      </w:tblGrid>
      <w:tr w:rsidR="002914D6" w:rsidTr="00DA714E">
        <w:tc>
          <w:tcPr>
            <w:tcW w:w="743" w:type="dxa"/>
          </w:tcPr>
          <w:p w:rsidR="002914D6" w:rsidRDefault="00011212">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ערן שילה</w:t>
                </w:r>
              </w:sdtContent>
            </w:sdt>
          </w:p>
          <w:p w:rsidR="002914D6" w:rsidRDefault="002914D6">
            <w:pPr>
              <w:rPr>
                <w:rFonts w:ascii="Arial" w:hAnsi="Arial" w:cs="FrankRuehl"/>
                <w:sz w:val="28"/>
                <w:szCs w:val="28"/>
                <w:highlight w:val="yellow"/>
              </w:rPr>
            </w:pPr>
          </w:p>
        </w:tc>
      </w:tr>
      <w:tr w:rsidR="002914D6" w:rsidTr="00DA714E">
        <w:tc>
          <w:tcPr>
            <w:tcW w:w="3249" w:type="dxa"/>
            <w:gridSpan w:val="2"/>
          </w:tcPr>
          <w:p w:rsidR="002914D6" w:rsidRDefault="002914D6">
            <w:pPr>
              <w:bidi w:val="0"/>
              <w:jc w:val="right"/>
              <w:rPr>
                <w:rFonts w:ascii="Arial" w:hAnsi="Arial"/>
                <w:b/>
                <w:bCs/>
                <w:noProof w:val="0"/>
                <w:sz w:val="26"/>
                <w:szCs w:val="26"/>
              </w:rPr>
            </w:pPr>
          </w:p>
          <w:sdt>
            <w:sdtPr>
              <w:alias w:val="1180"/>
              <w:tag w:val="1180"/>
              <w:id w:val="2064520869"/>
              <w:text w:multiLine="1"/>
            </w:sdtPr>
            <w:sdtEndPr/>
            <w:sdtContent>
              <w:p w:rsidR="00865BD5" w:rsidRDefault="000911A8" w:rsidP="000911A8">
                <w:pPr>
                  <w:bidi w:val="0"/>
                  <w:jc w:val="right"/>
                  <w:rPr>
                    <w:rFonts w:ascii="Arial" w:hAnsi="Arial"/>
                    <w:b/>
                    <w:bCs/>
                    <w:noProof w:val="0"/>
                    <w:sz w:val="26"/>
                    <w:szCs w:val="26"/>
                    <w:rtl/>
                  </w:rPr>
                </w:pPr>
                <w:r>
                  <w:rPr>
                    <w:rFonts w:ascii="Arial" w:hAnsi="Arial" w:hint="cs"/>
                    <w:b/>
                    <w:bCs/>
                    <w:noProof w:val="0"/>
                    <w:sz w:val="26"/>
                    <w:szCs w:val="26"/>
                    <w:rtl/>
                  </w:rPr>
                  <w:t>התובעת:</w:t>
                </w:r>
              </w:p>
            </w:sdtContent>
          </w:sdt>
        </w:tc>
        <w:tc>
          <w:tcPr>
            <w:tcW w:w="5571" w:type="dxa"/>
          </w:tcPr>
          <w:p w:rsidR="002914D6" w:rsidRDefault="002914D6">
            <w:pPr>
              <w:rPr>
                <w:rFonts w:ascii="Arial" w:hAnsi="Arial"/>
                <w:b/>
                <w:bCs/>
                <w:noProof w:val="0"/>
                <w:sz w:val="26"/>
                <w:szCs w:val="26"/>
              </w:rPr>
            </w:pPr>
          </w:p>
          <w:p w:rsidR="002914D6" w:rsidRDefault="00260782" w:rsidP="00F435C2">
            <w:pPr>
              <w:rPr>
                <w:b/>
                <w:bCs/>
                <w:noProof w:val="0"/>
                <w:sz w:val="26"/>
                <w:szCs w:val="26"/>
              </w:rPr>
            </w:pPr>
            <w:sdt>
              <w:sdtPr>
                <w:rPr>
                  <w:rtl/>
                </w:rPr>
                <w:alias w:val="1478"/>
                <w:tag w:val="1478"/>
                <w:id w:val="-2019765730"/>
                <w:text w:multiLine="1"/>
              </w:sdtPr>
              <w:sdtEndPr/>
              <w:sdtContent>
                <w:r w:rsidR="00F435C2">
                  <w:rPr>
                    <w:rFonts w:ascii="Arial" w:hAnsi="Arial" w:hint="cs"/>
                    <w:b/>
                    <w:bCs/>
                    <w:noProof w:val="0"/>
                    <w:sz w:val="26"/>
                    <w:szCs w:val="26"/>
                    <w:rtl/>
                  </w:rPr>
                  <w:t>פלונית</w:t>
                </w:r>
              </w:sdtContent>
            </w:sdt>
            <w:r w:rsidR="00011212">
              <w:rPr>
                <w:rFonts w:ascii="Arial" w:hAnsi="Arial" w:hint="cs"/>
                <w:b/>
                <w:bCs/>
                <w:noProof w:val="0"/>
                <w:sz w:val="26"/>
                <w:szCs w:val="26"/>
                <w:rtl/>
              </w:rPr>
              <w:t xml:space="preserve"> </w:t>
            </w:r>
            <w:sdt>
              <w:sdtPr>
                <w:rPr>
                  <w:rtl/>
                </w:rPr>
                <w:alias w:val="2315"/>
                <w:tag w:val="2315"/>
                <w:id w:val="1096443329"/>
                <w:text w:multiLine="1"/>
              </w:sdtPr>
              <w:sdtEndPr/>
              <w:sdtContent>
                <w:r w:rsidR="00CC29C2">
                  <w:rPr>
                    <w:rFonts w:ascii="Arial" w:hAnsi="Arial"/>
                    <w:b/>
                    <w:bCs/>
                    <w:noProof w:val="0"/>
                    <w:sz w:val="26"/>
                    <w:szCs w:val="26"/>
                    <w:rtl/>
                  </w:rPr>
                  <w:t>ת"ז</w:t>
                </w:r>
              </w:sdtContent>
            </w:sdt>
            <w:r w:rsidR="00011212">
              <w:rPr>
                <w:rFonts w:ascii="Arial" w:hAnsi="Arial" w:hint="cs"/>
                <w:b/>
                <w:bCs/>
                <w:noProof w:val="0"/>
                <w:sz w:val="26"/>
                <w:szCs w:val="26"/>
                <w:rtl/>
              </w:rPr>
              <w:t xml:space="preserve"> </w:t>
            </w:r>
            <w:r w:rsidR="00F435C2" w:rsidRPr="00F435C2">
              <w:rPr>
                <w:rFonts w:hint="cs"/>
                <w:b/>
                <w:bCs/>
                <w:noProof w:val="0"/>
                <w:sz w:val="22"/>
                <w:szCs w:val="22"/>
              </w:rPr>
              <w:t>XXXXXXXXX</w:t>
            </w:r>
          </w:p>
        </w:tc>
      </w:tr>
      <w:tr w:rsidR="002914D6" w:rsidTr="00DA714E">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rsidTr="00DA714E">
        <w:tc>
          <w:tcPr>
            <w:tcW w:w="3249" w:type="dxa"/>
            <w:gridSpan w:val="2"/>
          </w:tcPr>
          <w:p w:rsidR="002914D6" w:rsidRDefault="002914D6">
            <w:pPr>
              <w:rPr>
                <w:rFonts w:ascii="Arial" w:hAnsi="Arial"/>
                <w:b/>
                <w:bCs/>
                <w:noProof w:val="0"/>
                <w:sz w:val="26"/>
                <w:szCs w:val="26"/>
                <w:rtl/>
              </w:rPr>
            </w:pPr>
          </w:p>
          <w:p w:rsidR="002914D6" w:rsidRDefault="00260782" w:rsidP="000911A8">
            <w:pPr>
              <w:rPr>
                <w:rFonts w:ascii="Arial" w:hAnsi="Arial"/>
                <w:b/>
                <w:bCs/>
                <w:noProof w:val="0"/>
                <w:sz w:val="26"/>
                <w:szCs w:val="26"/>
              </w:rPr>
            </w:pPr>
            <w:sdt>
              <w:sdtPr>
                <w:rPr>
                  <w:rtl/>
                </w:rPr>
                <w:alias w:val="1184"/>
                <w:tag w:val="1184"/>
                <w:id w:val="385841288"/>
                <w:text w:multiLine="1"/>
              </w:sdtPr>
              <w:sdtEndPr/>
              <w:sdtContent>
                <w:r w:rsidR="000911A8">
                  <w:rPr>
                    <w:rFonts w:ascii="Arial" w:hAnsi="Arial" w:hint="cs"/>
                    <w:b/>
                    <w:bCs/>
                    <w:noProof w:val="0"/>
                    <w:sz w:val="26"/>
                    <w:szCs w:val="26"/>
                    <w:rtl/>
                  </w:rPr>
                  <w:t>הנתבע:</w:t>
                </w:r>
              </w:sdtContent>
            </w:sdt>
          </w:p>
        </w:tc>
        <w:tc>
          <w:tcPr>
            <w:tcW w:w="5571" w:type="dxa"/>
          </w:tcPr>
          <w:p w:rsidR="002914D6" w:rsidRDefault="002914D6">
            <w:pPr>
              <w:rPr>
                <w:rFonts w:ascii="Arial" w:hAnsi="Arial"/>
                <w:b/>
                <w:bCs/>
                <w:noProof w:val="0"/>
                <w:sz w:val="26"/>
                <w:szCs w:val="26"/>
                <w:rtl/>
              </w:rPr>
            </w:pPr>
          </w:p>
          <w:p w:rsidR="002914D6" w:rsidRDefault="00260782" w:rsidP="00F435C2">
            <w:pPr>
              <w:rPr>
                <w:b/>
                <w:bCs/>
                <w:noProof w:val="0"/>
                <w:sz w:val="26"/>
                <w:szCs w:val="26"/>
                <w:rtl/>
              </w:rPr>
            </w:pPr>
            <w:sdt>
              <w:sdtPr>
                <w:rPr>
                  <w:rtl/>
                </w:rPr>
                <w:alias w:val="1486"/>
                <w:tag w:val="1486"/>
                <w:id w:val="-1219885928"/>
                <w:text w:multiLine="1"/>
              </w:sdtPr>
              <w:sdtEndPr/>
              <w:sdtContent>
                <w:r w:rsidR="00F435C2">
                  <w:rPr>
                    <w:rFonts w:ascii="Arial" w:hAnsi="Arial" w:hint="cs"/>
                    <w:b/>
                    <w:bCs/>
                    <w:noProof w:val="0"/>
                    <w:sz w:val="26"/>
                    <w:szCs w:val="26"/>
                    <w:rtl/>
                  </w:rPr>
                  <w:t>פלוני</w:t>
                </w:r>
                <w:r w:rsidR="00CC29C2">
                  <w:rPr>
                    <w:rFonts w:ascii="Arial" w:hAnsi="Arial"/>
                    <w:b/>
                    <w:bCs/>
                    <w:noProof w:val="0"/>
                    <w:sz w:val="26"/>
                    <w:szCs w:val="26"/>
                    <w:rtl/>
                  </w:rPr>
                  <w:t xml:space="preserve"> (עציר)</w:t>
                </w:r>
              </w:sdtContent>
            </w:sdt>
            <w:r w:rsidR="00011212">
              <w:rPr>
                <w:rFonts w:ascii="Arial" w:hAnsi="Arial" w:hint="cs"/>
                <w:b/>
                <w:bCs/>
                <w:noProof w:val="0"/>
                <w:sz w:val="26"/>
                <w:szCs w:val="26"/>
                <w:rtl/>
              </w:rPr>
              <w:t xml:space="preserve"> </w:t>
            </w:r>
            <w:sdt>
              <w:sdtPr>
                <w:rPr>
                  <w:rtl/>
                </w:rPr>
                <w:alias w:val="2317"/>
                <w:tag w:val="2317"/>
                <w:id w:val="-2133776470"/>
                <w:text w:multiLine="1"/>
              </w:sdtPr>
              <w:sdtEndPr/>
              <w:sdtContent>
                <w:r w:rsidR="00CC29C2">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sz w:val="22"/>
                  <w:szCs w:val="22"/>
                  <w:rtl/>
                </w:rPr>
                <w:alias w:val="2318"/>
                <w:tag w:val="2318"/>
                <w:id w:val="-282733546"/>
                <w:text w:multiLine="1"/>
              </w:sdtPr>
              <w:sdtEndPr/>
              <w:sdtContent>
                <w:r w:rsidR="00F435C2" w:rsidRPr="00F435C2">
                  <w:rPr>
                    <w:rFonts w:ascii="Arial" w:hAnsi="Arial" w:hint="cs"/>
                    <w:b/>
                    <w:bCs/>
                    <w:noProof w:val="0"/>
                    <w:sz w:val="22"/>
                    <w:szCs w:val="22"/>
                  </w:rPr>
                  <w:t>XXXXXXXXX</w:t>
                </w:r>
              </w:sdtContent>
            </w:sdt>
          </w:p>
          <w:p w:rsidR="002914D6" w:rsidRDefault="002914D6">
            <w:pPr>
              <w:rPr>
                <w:b/>
                <w:bCs/>
                <w:noProof w:val="0"/>
                <w:sz w:val="26"/>
                <w:szCs w:val="26"/>
                <w:rtl/>
              </w:rPr>
            </w:pPr>
          </w:p>
        </w:tc>
      </w:tr>
      <w:tr w:rsidR="00DA714E" w:rsidTr="00020144">
        <w:tc>
          <w:tcPr>
            <w:tcW w:w="8820" w:type="dxa"/>
            <w:gridSpan w:val="3"/>
          </w:tcPr>
          <w:p w:rsidR="00DA714E" w:rsidRDefault="00DA714E">
            <w:pPr>
              <w:rPr>
                <w:rFonts w:ascii="Arial" w:hAnsi="Arial"/>
                <w:b/>
                <w:bCs/>
                <w:noProof w:val="0"/>
                <w:sz w:val="26"/>
                <w:szCs w:val="26"/>
                <w:rtl/>
              </w:rPr>
            </w:pPr>
          </w:p>
        </w:tc>
      </w:tr>
    </w:tbl>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530E94">
            <w:pPr>
              <w:bidi w:val="0"/>
              <w:jc w:val="center"/>
              <w:rPr>
                <w:rFonts w:ascii="Arial" w:hAnsi="Arial"/>
                <w:b/>
                <w:bCs/>
                <w:noProof w:val="0"/>
                <w:sz w:val="28"/>
                <w:szCs w:val="28"/>
                <w:u w:val="single"/>
                <w:rtl/>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0911A8" w:rsidRPr="0059304F" w:rsidRDefault="000911A8" w:rsidP="008D1040">
      <w:pPr>
        <w:numPr>
          <w:ilvl w:val="0"/>
          <w:numId w:val="1"/>
        </w:numPr>
        <w:spacing w:after="160" w:line="360" w:lineRule="auto"/>
        <w:contextualSpacing/>
        <w:jc w:val="both"/>
        <w:rPr>
          <w:rFonts w:ascii="David" w:hAnsi="David"/>
          <w:sz w:val="22"/>
          <w:szCs w:val="22"/>
        </w:rPr>
      </w:pPr>
      <w:r w:rsidRPr="0059304F">
        <w:rPr>
          <w:rFonts w:ascii="David" w:hAnsi="David"/>
          <w:sz w:val="22"/>
          <w:szCs w:val="22"/>
          <w:rtl/>
        </w:rPr>
        <w:t>החלטה זו מתייחסת לשאלה</w:t>
      </w:r>
      <w:r w:rsidR="00322F9F">
        <w:rPr>
          <w:rFonts w:ascii="David" w:hAnsi="David" w:hint="cs"/>
          <w:sz w:val="22"/>
          <w:szCs w:val="22"/>
          <w:rtl/>
        </w:rPr>
        <w:t>,</w:t>
      </w:r>
      <w:r w:rsidRPr="0059304F">
        <w:rPr>
          <w:rFonts w:ascii="David" w:hAnsi="David"/>
          <w:sz w:val="22"/>
          <w:szCs w:val="22"/>
          <w:rtl/>
        </w:rPr>
        <w:t xml:space="preserve"> אם לבקש תסקיר עו"ס לסדרי דין על מנת לבחון את בקשת הנתבע </w:t>
      </w:r>
      <w:r w:rsidR="0059304F" w:rsidRPr="0059304F">
        <w:rPr>
          <w:rFonts w:ascii="David" w:hAnsi="David" w:hint="cs"/>
          <w:sz w:val="22"/>
          <w:szCs w:val="22"/>
          <w:rtl/>
        </w:rPr>
        <w:t>(אשר אפוטרופסותו על ששת ילדיו הקטינים נשללה לפי סעיף 27א(א)(2) ל</w:t>
      </w:r>
      <w:r w:rsidR="0059304F" w:rsidRPr="0059304F">
        <w:rPr>
          <w:rFonts w:ascii="David" w:hAnsi="David"/>
          <w:sz w:val="22"/>
          <w:szCs w:val="22"/>
          <w:rtl/>
        </w:rPr>
        <w:t>חוק הכשרות המשפטית והאפוטרופסות, תשכ"ב-1962</w:t>
      </w:r>
      <w:r w:rsidR="0059304F" w:rsidRPr="0059304F">
        <w:rPr>
          <w:rFonts w:ascii="David" w:hAnsi="David" w:hint="cs"/>
          <w:sz w:val="22"/>
          <w:szCs w:val="22"/>
          <w:rtl/>
        </w:rPr>
        <w:t>)</w:t>
      </w:r>
      <w:r w:rsidR="0059304F">
        <w:rPr>
          <w:rFonts w:ascii="David" w:hAnsi="David" w:hint="cs"/>
          <w:sz w:val="22"/>
          <w:szCs w:val="22"/>
          <w:rtl/>
        </w:rPr>
        <w:t xml:space="preserve"> </w:t>
      </w:r>
      <w:r w:rsidRPr="0059304F">
        <w:rPr>
          <w:rFonts w:ascii="David" w:hAnsi="David"/>
          <w:sz w:val="22"/>
          <w:szCs w:val="22"/>
          <w:rtl/>
        </w:rPr>
        <w:t xml:space="preserve">לקביעת הסדרי קשר </w:t>
      </w:r>
      <w:r w:rsidR="00B26303" w:rsidRPr="0059304F">
        <w:rPr>
          <w:rFonts w:ascii="David" w:hAnsi="David" w:hint="cs"/>
          <w:sz w:val="22"/>
          <w:szCs w:val="22"/>
          <w:rtl/>
        </w:rPr>
        <w:t>-</w:t>
      </w:r>
      <w:r w:rsidRPr="0059304F">
        <w:rPr>
          <w:rFonts w:ascii="David" w:hAnsi="David"/>
          <w:sz w:val="22"/>
          <w:szCs w:val="22"/>
          <w:rtl/>
        </w:rPr>
        <w:t xml:space="preserve"> במתווה זה או אחר </w:t>
      </w:r>
      <w:r w:rsidR="00B26303" w:rsidRPr="0059304F">
        <w:rPr>
          <w:rFonts w:ascii="David" w:hAnsi="David" w:hint="cs"/>
          <w:sz w:val="22"/>
          <w:szCs w:val="22"/>
          <w:rtl/>
        </w:rPr>
        <w:t>-</w:t>
      </w:r>
      <w:r w:rsidRPr="0059304F">
        <w:rPr>
          <w:rFonts w:ascii="David" w:hAnsi="David"/>
          <w:sz w:val="22"/>
          <w:szCs w:val="22"/>
          <w:rtl/>
        </w:rPr>
        <w:t xml:space="preserve"> בינו לבין הקטינים או מי מהם. </w:t>
      </w:r>
    </w:p>
    <w:p w:rsidR="000911A8" w:rsidRPr="000911A8" w:rsidRDefault="000911A8" w:rsidP="000911A8">
      <w:pPr>
        <w:spacing w:line="360" w:lineRule="auto"/>
        <w:jc w:val="both"/>
        <w:rPr>
          <w:rFonts w:ascii="David" w:eastAsia="Calibri" w:hAnsi="David"/>
          <w:noProof w:val="0"/>
          <w:sz w:val="22"/>
          <w:szCs w:val="22"/>
          <w:rtl/>
        </w:rPr>
      </w:pPr>
    </w:p>
    <w:p w:rsidR="000911A8" w:rsidRPr="000911A8" w:rsidRDefault="000911A8" w:rsidP="00322F9F">
      <w:pPr>
        <w:numPr>
          <w:ilvl w:val="0"/>
          <w:numId w:val="1"/>
        </w:numPr>
        <w:spacing w:after="160" w:line="360" w:lineRule="auto"/>
        <w:contextualSpacing/>
        <w:jc w:val="both"/>
        <w:rPr>
          <w:rFonts w:ascii="David" w:hAnsi="David"/>
          <w:sz w:val="22"/>
          <w:szCs w:val="22"/>
          <w:rtl/>
        </w:rPr>
      </w:pPr>
      <w:r w:rsidRPr="000911A8">
        <w:rPr>
          <w:rFonts w:ascii="David" w:hAnsi="David"/>
          <w:sz w:val="22"/>
          <w:szCs w:val="22"/>
          <w:rtl/>
        </w:rPr>
        <w:t>כפי שנאמר בהחלטה מיום 3.5.23 בהתאם להוראות חוק הכשרות המשפטית והאפוטרופסות ולפסיקה (לרבות בכל הנוגע לקביעת הסדרי קשר בין קטינים לבין מי שאינו אפוטרופוס שלהם) וגם בהתאם לחוזר המנכ"ל מיום 20.1.21 שהוגש על ידי ב"כ היועמ"ש, שלילת האפוטרופסות של התובע אינה מביאה - מיניה וביה - לשלילת האפשרות לשמירה על קשר או</w:t>
      </w:r>
      <w:r w:rsidR="00322F9F">
        <w:rPr>
          <w:rFonts w:ascii="David" w:hAnsi="David" w:hint="cs"/>
          <w:sz w:val="22"/>
          <w:szCs w:val="22"/>
          <w:rtl/>
        </w:rPr>
        <w:t xml:space="preserve"> לקיום</w:t>
      </w:r>
      <w:r w:rsidRPr="000911A8">
        <w:rPr>
          <w:rFonts w:ascii="David" w:hAnsi="David"/>
          <w:sz w:val="22"/>
          <w:szCs w:val="22"/>
          <w:rtl/>
        </w:rPr>
        <w:t xml:space="preserve"> הסדרי התראות בינו לבין ילדיו. ובלשונו של חוזר המנכ"ל, "החוק אינו אוסר קיומם של מפגשים בין ההורה שהוגש נגדו כתב אישום או הורשע לילדיו".</w:t>
      </w:r>
    </w:p>
    <w:p w:rsidR="000911A8" w:rsidRPr="000911A8" w:rsidRDefault="000911A8" w:rsidP="000911A8">
      <w:pPr>
        <w:spacing w:line="360" w:lineRule="auto"/>
        <w:jc w:val="both"/>
        <w:rPr>
          <w:rFonts w:ascii="David" w:eastAsia="Calibri" w:hAnsi="David"/>
          <w:noProof w:val="0"/>
          <w:sz w:val="22"/>
          <w:szCs w:val="22"/>
          <w:rtl/>
        </w:rPr>
      </w:pPr>
    </w:p>
    <w:p w:rsidR="000911A8" w:rsidRPr="000911A8" w:rsidRDefault="000911A8" w:rsidP="000911A8">
      <w:pPr>
        <w:numPr>
          <w:ilvl w:val="0"/>
          <w:numId w:val="1"/>
        </w:numPr>
        <w:spacing w:after="160" w:line="360" w:lineRule="auto"/>
        <w:contextualSpacing/>
        <w:jc w:val="both"/>
        <w:rPr>
          <w:rFonts w:ascii="David" w:hAnsi="David"/>
          <w:sz w:val="22"/>
          <w:szCs w:val="22"/>
          <w:rtl/>
        </w:rPr>
      </w:pPr>
      <w:r w:rsidRPr="000911A8">
        <w:rPr>
          <w:rFonts w:ascii="David" w:hAnsi="David"/>
          <w:sz w:val="22"/>
          <w:szCs w:val="22"/>
          <w:rtl/>
        </w:rPr>
        <w:t xml:space="preserve">בחוזר המנכ"ל נאמר, בין היתר, כי שלילת האפוטרופסות שוללת את האפשרות "של הפוגע לטעון </w:t>
      </w:r>
      <w:r w:rsidRPr="000911A8">
        <w:rPr>
          <w:rFonts w:ascii="David" w:hAnsi="David"/>
          <w:b/>
          <w:bCs/>
          <w:sz w:val="22"/>
          <w:szCs w:val="22"/>
          <w:u w:val="single"/>
          <w:rtl/>
        </w:rPr>
        <w:t>לזכותו</w:t>
      </w:r>
      <w:r w:rsidRPr="000911A8">
        <w:rPr>
          <w:rFonts w:ascii="David" w:hAnsi="David"/>
          <w:sz w:val="22"/>
          <w:szCs w:val="22"/>
          <w:rtl/>
        </w:rPr>
        <w:t xml:space="preserve"> למפגשים אלו" ו-"הפרמטר היחיד לקיום של מפגשים נוגע לטובת הקטינם ורצונותיהם". </w:t>
      </w:r>
    </w:p>
    <w:p w:rsidR="000911A8" w:rsidRPr="000911A8" w:rsidRDefault="000911A8" w:rsidP="000911A8">
      <w:pPr>
        <w:spacing w:line="360" w:lineRule="auto"/>
        <w:jc w:val="both"/>
        <w:rPr>
          <w:rFonts w:ascii="David" w:eastAsia="Calibri" w:hAnsi="David"/>
          <w:noProof w:val="0"/>
          <w:sz w:val="22"/>
          <w:szCs w:val="22"/>
          <w:rtl/>
        </w:rPr>
      </w:pPr>
    </w:p>
    <w:p w:rsidR="000911A8" w:rsidRPr="000911A8" w:rsidRDefault="000911A8" w:rsidP="001A3703">
      <w:pPr>
        <w:numPr>
          <w:ilvl w:val="0"/>
          <w:numId w:val="1"/>
        </w:numPr>
        <w:spacing w:after="160" w:line="360" w:lineRule="auto"/>
        <w:contextualSpacing/>
        <w:jc w:val="both"/>
        <w:rPr>
          <w:rFonts w:ascii="David" w:hAnsi="David"/>
          <w:sz w:val="22"/>
          <w:szCs w:val="22"/>
          <w:rtl/>
        </w:rPr>
      </w:pPr>
      <w:r w:rsidRPr="000911A8">
        <w:rPr>
          <w:rFonts w:ascii="David" w:hAnsi="David"/>
          <w:sz w:val="22"/>
          <w:szCs w:val="22"/>
          <w:rtl/>
        </w:rPr>
        <w:t xml:space="preserve">אפילו נקבל עמדה זו, בענייננו טוען </w:t>
      </w:r>
      <w:r w:rsidR="00F435C2">
        <w:rPr>
          <w:rFonts w:ascii="David" w:hAnsi="David" w:hint="cs"/>
          <w:sz w:val="22"/>
          <w:szCs w:val="22"/>
          <w:rtl/>
        </w:rPr>
        <w:t>הנתבע</w:t>
      </w:r>
      <w:r w:rsidRPr="000911A8">
        <w:rPr>
          <w:rFonts w:ascii="David" w:hAnsi="David"/>
          <w:sz w:val="22"/>
          <w:szCs w:val="22"/>
          <w:rtl/>
        </w:rPr>
        <w:t xml:space="preserve"> כי מתן אפשרות לקשר בינו לבין הקטינים ה</w:t>
      </w:r>
      <w:r w:rsidR="00B26303">
        <w:rPr>
          <w:rFonts w:ascii="David" w:hAnsi="David" w:hint="cs"/>
          <w:sz w:val="22"/>
          <w:szCs w:val="22"/>
          <w:rtl/>
        </w:rPr>
        <w:t>ו</w:t>
      </w:r>
      <w:r w:rsidRPr="000911A8">
        <w:rPr>
          <w:rFonts w:ascii="David" w:hAnsi="David"/>
          <w:sz w:val="22"/>
          <w:szCs w:val="22"/>
          <w:rtl/>
        </w:rPr>
        <w:t>א לטובת הקטינים. הוא אף מדגיש</w:t>
      </w:r>
      <w:r w:rsidR="001A3703">
        <w:rPr>
          <w:rFonts w:ascii="David" w:hAnsi="David" w:hint="cs"/>
          <w:sz w:val="22"/>
          <w:szCs w:val="22"/>
          <w:rtl/>
        </w:rPr>
        <w:t>,</w:t>
      </w:r>
      <w:r w:rsidRPr="000911A8">
        <w:rPr>
          <w:rFonts w:ascii="David" w:hAnsi="David"/>
          <w:sz w:val="22"/>
          <w:szCs w:val="22"/>
          <w:rtl/>
        </w:rPr>
        <w:t xml:space="preserve"> כי אינו עומד על קיום מפגשים בשלב זה אלא אם כן הקטינים (או מי מהם) יבקש</w:t>
      </w:r>
      <w:r w:rsidR="003C5861">
        <w:rPr>
          <w:rFonts w:ascii="David" w:hAnsi="David" w:hint="cs"/>
          <w:sz w:val="22"/>
          <w:szCs w:val="22"/>
          <w:rtl/>
        </w:rPr>
        <w:t>ו</w:t>
      </w:r>
      <w:r w:rsidRPr="000911A8">
        <w:rPr>
          <w:rFonts w:ascii="David" w:hAnsi="David"/>
          <w:sz w:val="22"/>
          <w:szCs w:val="22"/>
          <w:rtl/>
        </w:rPr>
        <w:t xml:space="preserve"> זאת. מסיבה זו ביקש שעמדת הקטינים תישמע על ידי אנשי המקצוע וייערך תסקיר. </w:t>
      </w:r>
    </w:p>
    <w:p w:rsidR="000911A8" w:rsidRPr="000911A8" w:rsidRDefault="000911A8" w:rsidP="000911A8">
      <w:pPr>
        <w:spacing w:line="360" w:lineRule="auto"/>
        <w:jc w:val="both"/>
        <w:rPr>
          <w:rFonts w:ascii="David" w:eastAsia="Calibri" w:hAnsi="David"/>
          <w:noProof w:val="0"/>
          <w:sz w:val="22"/>
          <w:szCs w:val="22"/>
          <w:rtl/>
        </w:rPr>
      </w:pPr>
    </w:p>
    <w:p w:rsidR="000911A8" w:rsidRPr="000911A8" w:rsidRDefault="000911A8" w:rsidP="003C5861">
      <w:pPr>
        <w:numPr>
          <w:ilvl w:val="0"/>
          <w:numId w:val="1"/>
        </w:numPr>
        <w:spacing w:after="160" w:line="360" w:lineRule="auto"/>
        <w:contextualSpacing/>
        <w:jc w:val="both"/>
        <w:rPr>
          <w:rFonts w:ascii="David" w:hAnsi="David"/>
          <w:sz w:val="22"/>
          <w:szCs w:val="22"/>
          <w:rtl/>
        </w:rPr>
      </w:pPr>
      <w:r w:rsidRPr="000911A8">
        <w:rPr>
          <w:rFonts w:ascii="David" w:hAnsi="David"/>
          <w:sz w:val="22"/>
          <w:szCs w:val="22"/>
          <w:rtl/>
        </w:rPr>
        <w:t>ואולי ראוי להזכיר - מבלי להקל כלל במעשים החמורים מאוד בהם התובע הודה והורשע - כי התובע הורשע בפגיעה מינית ב</w:t>
      </w:r>
      <w:r w:rsidR="003C5861">
        <w:rPr>
          <w:rFonts w:ascii="David" w:hAnsi="David" w:hint="cs"/>
          <w:sz w:val="22"/>
          <w:szCs w:val="22"/>
          <w:rtl/>
        </w:rPr>
        <w:t xml:space="preserve">בנותיו </w:t>
      </w:r>
      <w:r w:rsidRPr="000911A8">
        <w:rPr>
          <w:rFonts w:ascii="David" w:hAnsi="David"/>
          <w:sz w:val="22"/>
          <w:szCs w:val="22"/>
          <w:rtl/>
        </w:rPr>
        <w:t xml:space="preserve">הגדולות (הפגיעות נעשו לפני מספר שנים כשהבנות היו קטינות והיום כולן בגירות) כאשר הבקשה מתייחסת כיום לשישה קטינים שלכאורה אין כל טענה שהתובע פגע במי מהם. </w:t>
      </w:r>
    </w:p>
    <w:p w:rsidR="000911A8" w:rsidRPr="000911A8" w:rsidRDefault="000911A8" w:rsidP="000911A8">
      <w:pPr>
        <w:spacing w:line="360" w:lineRule="auto"/>
        <w:jc w:val="both"/>
        <w:rPr>
          <w:rFonts w:ascii="David" w:eastAsia="Calibri" w:hAnsi="David"/>
          <w:noProof w:val="0"/>
          <w:sz w:val="22"/>
          <w:szCs w:val="22"/>
          <w:rtl/>
        </w:rPr>
      </w:pPr>
    </w:p>
    <w:p w:rsidR="000911A8" w:rsidRDefault="000911A8" w:rsidP="000911A8">
      <w:pPr>
        <w:numPr>
          <w:ilvl w:val="0"/>
          <w:numId w:val="1"/>
        </w:numPr>
        <w:spacing w:after="160" w:line="360" w:lineRule="auto"/>
        <w:contextualSpacing/>
        <w:jc w:val="both"/>
        <w:rPr>
          <w:rFonts w:ascii="David" w:hAnsi="David"/>
          <w:sz w:val="22"/>
          <w:szCs w:val="22"/>
        </w:rPr>
      </w:pPr>
      <w:r w:rsidRPr="000911A8">
        <w:rPr>
          <w:rFonts w:ascii="David" w:hAnsi="David"/>
          <w:sz w:val="22"/>
          <w:szCs w:val="22"/>
          <w:rtl/>
        </w:rPr>
        <w:t xml:space="preserve">הנתבעת סבורה, כי קיום קשר בין התובע לבין מי מהקטינים אינו לטובתם. </w:t>
      </w:r>
    </w:p>
    <w:p w:rsidR="00E8205A" w:rsidRPr="000911A8" w:rsidRDefault="00E8205A" w:rsidP="00E8205A">
      <w:pPr>
        <w:spacing w:after="160" w:line="360" w:lineRule="auto"/>
        <w:contextualSpacing/>
        <w:jc w:val="both"/>
        <w:rPr>
          <w:rFonts w:ascii="David" w:hAnsi="David"/>
          <w:sz w:val="22"/>
          <w:szCs w:val="22"/>
          <w:rtl/>
        </w:rPr>
      </w:pPr>
    </w:p>
    <w:p w:rsidR="000911A8" w:rsidRPr="000911A8" w:rsidRDefault="000911A8" w:rsidP="00322F9F">
      <w:pPr>
        <w:numPr>
          <w:ilvl w:val="0"/>
          <w:numId w:val="1"/>
        </w:numPr>
        <w:spacing w:after="160" w:line="360" w:lineRule="auto"/>
        <w:contextualSpacing/>
        <w:jc w:val="both"/>
        <w:rPr>
          <w:rFonts w:ascii="David" w:hAnsi="David"/>
          <w:sz w:val="22"/>
          <w:szCs w:val="22"/>
          <w:rtl/>
        </w:rPr>
      </w:pPr>
      <w:r w:rsidRPr="000911A8">
        <w:rPr>
          <w:rFonts w:ascii="David" w:hAnsi="David"/>
          <w:sz w:val="22"/>
          <w:szCs w:val="22"/>
          <w:rtl/>
        </w:rPr>
        <w:lastRenderedPageBreak/>
        <w:t xml:space="preserve">כפי שנאמר בהחלטה מיום 3.5.23 המדובר במחלוקת בשאלה מהי טובתם של הקטינים, בנסיבות אלה ההכרעה בה צריכה להיעשות בהתאם לקריטריונים שעניינם "טובת הקטינים ורצונותיהם" והדרך להכריע במחלוקות שכאלה, כאשר התובע טוען שטובת הקטינים היא לאפשר להם קשר עמו אם יהיו מעוניינים בכך, היא </w:t>
      </w:r>
      <w:r w:rsidR="003C7650">
        <w:rPr>
          <w:rFonts w:ascii="David" w:hAnsi="David"/>
          <w:sz w:val="22"/>
          <w:szCs w:val="22"/>
          <w:rtl/>
        </w:rPr>
        <w:t xml:space="preserve">באמצעות קבלת חוות דעת של גורמי </w:t>
      </w:r>
      <w:r w:rsidRPr="000911A8">
        <w:rPr>
          <w:rFonts w:ascii="David" w:hAnsi="David"/>
          <w:sz w:val="22"/>
          <w:szCs w:val="22"/>
          <w:rtl/>
        </w:rPr>
        <w:t xml:space="preserve">מקצוע ובפועל תסקיר עו"ס לסדרי דין. כך עולה גם מחוזר המנכ"ל "ככל שגורמי המקצוע יסברו, במקרה מסוים, בניגוד לעמדת האפוטרופוס [ובענייננו התובעת - ע"ש], שיש לקדם או למנוע מפגש יהיה צורך לקבל החלטת בית משפט בעניין זה". </w:t>
      </w:r>
    </w:p>
    <w:p w:rsidR="000911A8" w:rsidRPr="000911A8" w:rsidRDefault="000911A8" w:rsidP="000911A8">
      <w:pPr>
        <w:spacing w:line="360" w:lineRule="auto"/>
        <w:jc w:val="both"/>
        <w:rPr>
          <w:rFonts w:ascii="David" w:eastAsia="Calibri" w:hAnsi="David"/>
          <w:noProof w:val="0"/>
          <w:sz w:val="22"/>
          <w:szCs w:val="22"/>
          <w:rtl/>
        </w:rPr>
      </w:pPr>
    </w:p>
    <w:p w:rsidR="000911A8" w:rsidRPr="000911A8" w:rsidRDefault="000911A8" w:rsidP="00C304B8">
      <w:pPr>
        <w:numPr>
          <w:ilvl w:val="0"/>
          <w:numId w:val="1"/>
        </w:numPr>
        <w:spacing w:after="160" w:line="360" w:lineRule="auto"/>
        <w:contextualSpacing/>
        <w:jc w:val="both"/>
        <w:rPr>
          <w:rFonts w:ascii="David" w:hAnsi="David"/>
          <w:sz w:val="22"/>
          <w:szCs w:val="22"/>
          <w:rtl/>
        </w:rPr>
      </w:pPr>
      <w:r w:rsidRPr="000911A8">
        <w:rPr>
          <w:rFonts w:ascii="David" w:hAnsi="David"/>
          <w:sz w:val="22"/>
          <w:szCs w:val="22"/>
          <w:rtl/>
        </w:rPr>
        <w:t xml:space="preserve">אף שכלי העבודה העיקרי המסור לבית המשפט לבירור טובתם של קטינים הוא תסקיר עו"ס לסדרי דין, ואף שבנסיבות שכאלה בקשת תסקיר היא כמעט דרך המלך גם אם מי מהצדדים סבור שאין בכך טעם, נוכח הנסיבות המורכבות ועל מנת שלא לפגוע </w:t>
      </w:r>
      <w:r w:rsidR="0016490B">
        <w:rPr>
          <w:rFonts w:ascii="David" w:hAnsi="David" w:hint="cs"/>
          <w:sz w:val="22"/>
          <w:szCs w:val="22"/>
          <w:rtl/>
        </w:rPr>
        <w:t xml:space="preserve">חלילה </w:t>
      </w:r>
      <w:r w:rsidRPr="000911A8">
        <w:rPr>
          <w:rFonts w:ascii="David" w:hAnsi="David"/>
          <w:sz w:val="22"/>
          <w:szCs w:val="22"/>
          <w:rtl/>
        </w:rPr>
        <w:t xml:space="preserve">בקטינים בשום אופן במסגרת בירור ההליך, ניתנה זכות טיעון בשאלה אם יתכן שעצם עריכת התסקיר עלולה חלילה </w:t>
      </w:r>
      <w:r w:rsidR="003C7650">
        <w:rPr>
          <w:rFonts w:ascii="David" w:hAnsi="David" w:hint="cs"/>
          <w:sz w:val="22"/>
          <w:szCs w:val="22"/>
          <w:rtl/>
        </w:rPr>
        <w:t xml:space="preserve">לפגוע בקטינים </w:t>
      </w:r>
      <w:r w:rsidRPr="000911A8">
        <w:rPr>
          <w:rFonts w:ascii="David" w:hAnsi="David"/>
          <w:sz w:val="22"/>
          <w:szCs w:val="22"/>
          <w:rtl/>
        </w:rPr>
        <w:t xml:space="preserve">בדרך כלשהי, והוסבר כי בהעדר התייחסות "תתבקש עו"ס לסדרי דין לחוות דעתה לגבי בקשת הנתבע לקביעת הסדרי התראות או קשר עם הקטינים, כאשר אמת המידה תהיה </w:t>
      </w:r>
      <w:r w:rsidR="00C304B8">
        <w:rPr>
          <w:rFonts w:ascii="David" w:hAnsi="David" w:hint="cs"/>
          <w:sz w:val="22"/>
          <w:szCs w:val="22"/>
          <w:rtl/>
        </w:rPr>
        <w:t>'</w:t>
      </w:r>
      <w:r w:rsidRPr="000911A8">
        <w:rPr>
          <w:rFonts w:ascii="David" w:hAnsi="David"/>
          <w:sz w:val="22"/>
          <w:szCs w:val="22"/>
          <w:rtl/>
        </w:rPr>
        <w:t>טובת הקטינים ורצונותיהם</w:t>
      </w:r>
      <w:r w:rsidR="00C304B8">
        <w:rPr>
          <w:rFonts w:ascii="David" w:hAnsi="David" w:hint="cs"/>
          <w:sz w:val="22"/>
          <w:szCs w:val="22"/>
          <w:rtl/>
        </w:rPr>
        <w:t>'</w:t>
      </w:r>
      <w:r w:rsidRPr="000911A8">
        <w:rPr>
          <w:rFonts w:ascii="David" w:hAnsi="David"/>
          <w:sz w:val="22"/>
          <w:szCs w:val="22"/>
          <w:rtl/>
        </w:rPr>
        <w:t xml:space="preserve"> (ולא </w:t>
      </w:r>
      <w:r w:rsidR="00C304B8">
        <w:rPr>
          <w:rFonts w:ascii="David" w:hAnsi="David" w:hint="cs"/>
          <w:sz w:val="22"/>
          <w:szCs w:val="22"/>
          <w:rtl/>
        </w:rPr>
        <w:t>'</w:t>
      </w:r>
      <w:r w:rsidRPr="000911A8">
        <w:rPr>
          <w:rFonts w:ascii="David" w:hAnsi="David"/>
          <w:sz w:val="22"/>
          <w:szCs w:val="22"/>
          <w:rtl/>
        </w:rPr>
        <w:t>זכותו</w:t>
      </w:r>
      <w:r w:rsidR="00C304B8">
        <w:rPr>
          <w:rFonts w:ascii="David" w:hAnsi="David" w:hint="cs"/>
          <w:sz w:val="22"/>
          <w:szCs w:val="22"/>
          <w:rtl/>
        </w:rPr>
        <w:t>'</w:t>
      </w:r>
      <w:r w:rsidRPr="000911A8">
        <w:rPr>
          <w:rFonts w:ascii="David" w:hAnsi="David"/>
          <w:sz w:val="22"/>
          <w:szCs w:val="22"/>
          <w:rtl/>
        </w:rPr>
        <w:t xml:space="preserve"> של הנתבע כאפוטרופוס אשר נשללה)". עוד הוסבר, כי גם אם לאחר קבלת התסקיר תישאר מחלוקת בין ההורים "יינתן משקל משמעותי לעמדת האפוטרופוס (כפות המאזניים במקרים כאלה אינן שק</w:t>
      </w:r>
      <w:r w:rsidR="005717F9">
        <w:rPr>
          <w:rFonts w:ascii="David" w:hAnsi="David"/>
          <w:sz w:val="22"/>
          <w:szCs w:val="22"/>
          <w:rtl/>
        </w:rPr>
        <w:t>ולות)"</w:t>
      </w:r>
      <w:r w:rsidR="005717F9">
        <w:rPr>
          <w:rFonts w:ascii="David" w:hAnsi="David" w:hint="cs"/>
          <w:sz w:val="22"/>
          <w:szCs w:val="22"/>
          <w:rtl/>
        </w:rPr>
        <w:t xml:space="preserve"> ומכל מקום, כאמור בחוזר המנכ"ל, בית המשפט יידרש להכריע בסוגיה.</w:t>
      </w:r>
    </w:p>
    <w:p w:rsidR="000911A8" w:rsidRPr="000911A8" w:rsidRDefault="000911A8" w:rsidP="000911A8">
      <w:pPr>
        <w:spacing w:line="360" w:lineRule="auto"/>
        <w:jc w:val="both"/>
        <w:rPr>
          <w:rFonts w:ascii="David" w:eastAsia="Calibri" w:hAnsi="David"/>
          <w:noProof w:val="0"/>
          <w:sz w:val="22"/>
          <w:szCs w:val="22"/>
          <w:rtl/>
        </w:rPr>
      </w:pPr>
    </w:p>
    <w:p w:rsidR="000911A8" w:rsidRPr="000911A8" w:rsidRDefault="000911A8" w:rsidP="000911A8">
      <w:pPr>
        <w:numPr>
          <w:ilvl w:val="0"/>
          <w:numId w:val="1"/>
        </w:numPr>
        <w:spacing w:after="160" w:line="360" w:lineRule="auto"/>
        <w:contextualSpacing/>
        <w:jc w:val="both"/>
        <w:rPr>
          <w:rFonts w:ascii="David" w:hAnsi="David"/>
          <w:sz w:val="22"/>
          <w:szCs w:val="22"/>
          <w:rtl/>
        </w:rPr>
      </w:pPr>
      <w:r w:rsidRPr="000911A8">
        <w:rPr>
          <w:rFonts w:ascii="David" w:hAnsi="David"/>
          <w:sz w:val="22"/>
          <w:szCs w:val="22"/>
          <w:rtl/>
        </w:rPr>
        <w:t xml:space="preserve">הנתבע שב וביקש שייערך תסקיר, ואילו התובעת - האפוטרופוס של הקטינים - לא סברה שעריכת תסקיר עומדת "בנסיבות בניגוד לטובת הקטינים" ולא הגישה תגובה מטעמה (למעשה גם ב"כ היועמ"ש לא טענה אחרת). סבורני, כי בנסיבות אלה בהן הנתבע סבור שטובת הקטינים - ולפחות טובתו של מי מהם שיהיה מעוניין בכך - היא להיות בקשר עמו, והתובעת לא התנגדה לכך שייערך תסקיר, הרי שיש לבקש מעו"ס לסדרי דין לערוך תסקיר בסוגיה. </w:t>
      </w:r>
    </w:p>
    <w:p w:rsidR="000911A8" w:rsidRPr="000911A8" w:rsidRDefault="000911A8" w:rsidP="000911A8">
      <w:pPr>
        <w:spacing w:line="360" w:lineRule="auto"/>
        <w:jc w:val="both"/>
        <w:rPr>
          <w:rFonts w:ascii="David" w:eastAsia="Calibri" w:hAnsi="David"/>
          <w:noProof w:val="0"/>
          <w:sz w:val="22"/>
          <w:szCs w:val="22"/>
          <w:rtl/>
        </w:rPr>
      </w:pPr>
    </w:p>
    <w:p w:rsidR="000911A8" w:rsidRPr="000911A8" w:rsidRDefault="000911A8" w:rsidP="000911A8">
      <w:pPr>
        <w:numPr>
          <w:ilvl w:val="0"/>
          <w:numId w:val="1"/>
        </w:numPr>
        <w:spacing w:after="160" w:line="360" w:lineRule="auto"/>
        <w:contextualSpacing/>
        <w:jc w:val="both"/>
        <w:rPr>
          <w:rFonts w:ascii="David" w:hAnsi="David"/>
          <w:sz w:val="22"/>
          <w:szCs w:val="22"/>
          <w:rtl/>
        </w:rPr>
      </w:pPr>
      <w:r w:rsidRPr="000911A8">
        <w:rPr>
          <w:rFonts w:ascii="David" w:hAnsi="David"/>
          <w:sz w:val="22"/>
          <w:szCs w:val="22"/>
          <w:rtl/>
        </w:rPr>
        <w:t xml:space="preserve">אין בידי לקבל את טענת ב"כ היועמ"ש בתגובתה, לפיה הנתבע "לא הוכיח כי קשר בינו לבין הקטינים נדרש לשם שמירה על ענייני הקטינים ולטובתם, ואף לא צוינה ראשית ראיה לכך... היות והמשיב 1 לא הוכיח, ואף לא הגיש ראשית ראיה לכך, כי קיום קשר בינו ובין הקטינים נדרש לצורך שמירת ענייני הקטינים ולטובתם אין מקום לערוך תסקיר עו"ס לסדרי דין בנסיבות העניין". </w:t>
      </w:r>
    </w:p>
    <w:p w:rsidR="000911A8" w:rsidRPr="000911A8" w:rsidRDefault="000911A8" w:rsidP="007117CB">
      <w:pPr>
        <w:jc w:val="both"/>
        <w:rPr>
          <w:rFonts w:ascii="David" w:eastAsia="Calibri" w:hAnsi="David"/>
          <w:noProof w:val="0"/>
          <w:sz w:val="22"/>
          <w:szCs w:val="22"/>
          <w:rtl/>
        </w:rPr>
      </w:pPr>
    </w:p>
    <w:p w:rsidR="000911A8" w:rsidRPr="000911A8" w:rsidRDefault="000911A8" w:rsidP="000911A8">
      <w:pPr>
        <w:numPr>
          <w:ilvl w:val="0"/>
          <w:numId w:val="1"/>
        </w:numPr>
        <w:spacing w:after="160" w:line="360" w:lineRule="auto"/>
        <w:contextualSpacing/>
        <w:jc w:val="both"/>
        <w:rPr>
          <w:rFonts w:ascii="David" w:hAnsi="David"/>
          <w:sz w:val="22"/>
          <w:szCs w:val="22"/>
          <w:rtl/>
        </w:rPr>
      </w:pPr>
      <w:r w:rsidRPr="000911A8">
        <w:rPr>
          <w:rFonts w:ascii="David" w:hAnsi="David"/>
          <w:sz w:val="22"/>
          <w:szCs w:val="22"/>
          <w:rtl/>
        </w:rPr>
        <w:t xml:space="preserve">אינני סבור שיש בחוק, בפסיקה או בחוזר המנכ"ל כל דרישה לכך שהורה הטוען שטובת הקטינים להיות עמו בקשר יציג "ראשית ראיה" לטענתו לפיה טובת הקטינים - המעוניינים בכך - היא להיות עמו בקשר כתנאי מקדמי לבקשת תסקיר. עוד יותר כך, שעה שלא נשמעה טענה שעריכת תסקיר כשלעצמה עומדת בנסיבות בניגוד לטובת הקטינים. </w:t>
      </w:r>
    </w:p>
    <w:p w:rsidR="000911A8" w:rsidRPr="000911A8" w:rsidRDefault="000911A8" w:rsidP="007117CB">
      <w:pPr>
        <w:jc w:val="both"/>
        <w:rPr>
          <w:rFonts w:ascii="David" w:eastAsia="Calibri" w:hAnsi="David"/>
          <w:noProof w:val="0"/>
          <w:sz w:val="22"/>
          <w:szCs w:val="22"/>
          <w:rtl/>
        </w:rPr>
      </w:pPr>
    </w:p>
    <w:p w:rsidR="000911A8" w:rsidRPr="000911A8" w:rsidRDefault="000911A8" w:rsidP="000911A8">
      <w:pPr>
        <w:numPr>
          <w:ilvl w:val="0"/>
          <w:numId w:val="1"/>
        </w:numPr>
        <w:spacing w:after="160" w:line="360" w:lineRule="auto"/>
        <w:contextualSpacing/>
        <w:jc w:val="both"/>
        <w:rPr>
          <w:rFonts w:ascii="David" w:hAnsi="David"/>
          <w:sz w:val="22"/>
          <w:szCs w:val="22"/>
          <w:rtl/>
        </w:rPr>
      </w:pPr>
      <w:r w:rsidRPr="000911A8">
        <w:rPr>
          <w:rFonts w:ascii="David" w:hAnsi="David"/>
          <w:sz w:val="22"/>
          <w:szCs w:val="22"/>
          <w:rtl/>
        </w:rPr>
        <w:t xml:space="preserve">ומעבר לכך - ומבלי להביע כל עמדה בשאלה אם בנסיבות אכן ראוי לקבוע הסדרי קשר בין הנתבע לקטינים - סבורני כי העובדה שמדובר באביהם של שישה קטינים (שאין טענה שנפגעו), אשר עד לפני שנה </w:t>
      </w:r>
      <w:r w:rsidR="003C7650">
        <w:rPr>
          <w:rFonts w:ascii="David" w:hAnsi="David" w:hint="cs"/>
          <w:sz w:val="22"/>
          <w:szCs w:val="22"/>
          <w:rtl/>
        </w:rPr>
        <w:t xml:space="preserve">לכאורה </w:t>
      </w:r>
      <w:r w:rsidRPr="000911A8">
        <w:rPr>
          <w:rFonts w:ascii="David" w:hAnsi="David"/>
          <w:sz w:val="22"/>
          <w:szCs w:val="22"/>
          <w:rtl/>
        </w:rPr>
        <w:t xml:space="preserve">התגורר עמם תחת אותה קורת גג ותפקד כאביהם, מהווה "ראשית ראיה" שמצדיקה </w:t>
      </w:r>
      <w:r w:rsidRPr="000911A8">
        <w:rPr>
          <w:rFonts w:ascii="David" w:hAnsi="David"/>
          <w:b/>
          <w:bCs/>
          <w:sz w:val="22"/>
          <w:szCs w:val="22"/>
          <w:u w:val="single"/>
          <w:rtl/>
        </w:rPr>
        <w:t>לברר</w:t>
      </w:r>
      <w:r w:rsidRPr="000911A8">
        <w:rPr>
          <w:rFonts w:ascii="David" w:hAnsi="David"/>
          <w:sz w:val="22"/>
          <w:szCs w:val="22"/>
          <w:rtl/>
        </w:rPr>
        <w:t xml:space="preserve"> אם אכן טובת הקטינים להיות בקשר עם אביהם. אמנם אפוטרופסותו של הנתבע נשללה, ואולם </w:t>
      </w:r>
      <w:r w:rsidRPr="000911A8">
        <w:rPr>
          <w:rFonts w:ascii="David" w:hAnsi="David"/>
          <w:sz w:val="22"/>
          <w:szCs w:val="22"/>
          <w:rtl/>
        </w:rPr>
        <w:lastRenderedPageBreak/>
        <w:t xml:space="preserve">אין בכך </w:t>
      </w:r>
      <w:r w:rsidR="003C5861">
        <w:rPr>
          <w:rFonts w:ascii="David" w:hAnsi="David" w:hint="cs"/>
          <w:sz w:val="22"/>
          <w:szCs w:val="22"/>
          <w:rtl/>
        </w:rPr>
        <w:t xml:space="preserve">כדי </w:t>
      </w:r>
      <w:r w:rsidRPr="000911A8">
        <w:rPr>
          <w:rFonts w:ascii="David" w:hAnsi="David"/>
          <w:sz w:val="22"/>
          <w:szCs w:val="22"/>
          <w:rtl/>
        </w:rPr>
        <w:t xml:space="preserve">לשלול את העובדה הביולוגית והפסיכולוגית שהוא אביהם של הקטינים, עמו חיו עד לפני פחות משנה, ויתכן - ומדובר באפשרות בלבד - שטובתם היא להיות עמו בקשר. </w:t>
      </w:r>
    </w:p>
    <w:p w:rsidR="000911A8" w:rsidRPr="000911A8" w:rsidRDefault="000911A8" w:rsidP="007117CB">
      <w:pPr>
        <w:jc w:val="both"/>
        <w:rPr>
          <w:rFonts w:ascii="David" w:eastAsia="Calibri" w:hAnsi="David"/>
          <w:noProof w:val="0"/>
          <w:sz w:val="22"/>
          <w:szCs w:val="22"/>
          <w:rtl/>
        </w:rPr>
      </w:pPr>
    </w:p>
    <w:p w:rsidR="000911A8" w:rsidRPr="000911A8" w:rsidRDefault="000911A8" w:rsidP="00DD5405">
      <w:pPr>
        <w:numPr>
          <w:ilvl w:val="0"/>
          <w:numId w:val="1"/>
        </w:numPr>
        <w:spacing w:after="160" w:line="360" w:lineRule="auto"/>
        <w:contextualSpacing/>
        <w:jc w:val="both"/>
        <w:rPr>
          <w:rFonts w:ascii="David" w:hAnsi="David"/>
          <w:sz w:val="22"/>
          <w:szCs w:val="22"/>
          <w:rtl/>
        </w:rPr>
      </w:pPr>
      <w:r w:rsidRPr="000911A8">
        <w:rPr>
          <w:rFonts w:ascii="David" w:hAnsi="David"/>
          <w:sz w:val="22"/>
          <w:szCs w:val="22"/>
          <w:rtl/>
        </w:rPr>
        <w:t xml:space="preserve">יתכן מאוד שהקטינים לא יהיו מעוניינים להיות בקשר עם אביהם, יתכן שגם אם יהיו מעוניינים בכך הדבר יהיה - בעיני התובעת או בעיני גורמי המקצוע - בניגוד לטובתם. ואולם, האם ניתן לשלול קטגורית את האפשרות שטובת הקטינים, או מי מהם, תהיה להיות בקשר באופן זה או אחר עם </w:t>
      </w:r>
      <w:r w:rsidRPr="000911A8">
        <w:rPr>
          <w:rFonts w:ascii="David" w:hAnsi="David"/>
          <w:b/>
          <w:bCs/>
          <w:sz w:val="22"/>
          <w:szCs w:val="22"/>
          <w:u w:val="single"/>
          <w:rtl/>
        </w:rPr>
        <w:t>אביהם</w:t>
      </w:r>
      <w:r w:rsidRPr="000911A8">
        <w:rPr>
          <w:rFonts w:ascii="David" w:hAnsi="David"/>
          <w:sz w:val="22"/>
          <w:szCs w:val="22"/>
          <w:rtl/>
        </w:rPr>
        <w:t xml:space="preserve">? יתכן שהקטינים לא ירצו להיות בקשר עם אביהם, ואולם גם יתכן שמי מהקטינים יחוש כמיהה לקשר ויתמה מדוע אביו אינו מעוניין להיות בקשר עמו? יתכן שמי מהקטינים דווקא פגוע מכך שאביו </w:t>
      </w:r>
      <w:r w:rsidR="00DD5405">
        <w:rPr>
          <w:rFonts w:ascii="David" w:hAnsi="David" w:hint="cs"/>
          <w:sz w:val="22"/>
          <w:szCs w:val="22"/>
          <w:rtl/>
        </w:rPr>
        <w:t>-</w:t>
      </w:r>
      <w:r w:rsidRPr="000911A8">
        <w:rPr>
          <w:rFonts w:ascii="David" w:hAnsi="David"/>
          <w:sz w:val="22"/>
          <w:szCs w:val="22"/>
          <w:rtl/>
        </w:rPr>
        <w:t xml:space="preserve"> כך למיטב ידיעתו </w:t>
      </w:r>
      <w:r w:rsidR="00DD5405">
        <w:rPr>
          <w:rFonts w:ascii="David" w:hAnsi="David" w:hint="cs"/>
          <w:sz w:val="22"/>
          <w:szCs w:val="22"/>
          <w:rtl/>
        </w:rPr>
        <w:t>-</w:t>
      </w:r>
      <w:r w:rsidRPr="000911A8">
        <w:rPr>
          <w:rFonts w:ascii="David" w:hAnsi="David"/>
          <w:sz w:val="22"/>
          <w:szCs w:val="22"/>
          <w:rtl/>
        </w:rPr>
        <w:t xml:space="preserve"> בחר שלא לנסות לשמור על קשר עם ילדיו. לקטינים אין ולא יהיה אבא אחר. קביעה קטגורית השוללת את הבירור אם קשר כיום, או בעוד תקופה, בכפוף להליך טיפולי, או במסגרת הליך טיפולי, על מנת להביע חיבה, או על מנת להתעמת ולהביע רגשות, ה</w:t>
      </w:r>
      <w:r w:rsidR="00DD5405">
        <w:rPr>
          <w:rFonts w:ascii="David" w:hAnsi="David" w:hint="cs"/>
          <w:sz w:val="22"/>
          <w:szCs w:val="22"/>
          <w:rtl/>
        </w:rPr>
        <w:t>ו</w:t>
      </w:r>
      <w:r w:rsidRPr="000911A8">
        <w:rPr>
          <w:rFonts w:ascii="David" w:hAnsi="David"/>
          <w:sz w:val="22"/>
          <w:szCs w:val="22"/>
          <w:rtl/>
        </w:rPr>
        <w:t xml:space="preserve">א לטובת הקטינים היא קביעה חריפה שאינה עולה מהוראות הדין ועלולה לפגוע בקטינים. </w:t>
      </w:r>
    </w:p>
    <w:p w:rsidR="000911A8" w:rsidRPr="000911A8" w:rsidRDefault="000911A8" w:rsidP="007117CB">
      <w:pPr>
        <w:jc w:val="both"/>
        <w:rPr>
          <w:rFonts w:ascii="David" w:eastAsia="Calibri" w:hAnsi="David"/>
          <w:noProof w:val="0"/>
          <w:sz w:val="22"/>
          <w:szCs w:val="22"/>
          <w:rtl/>
        </w:rPr>
      </w:pPr>
    </w:p>
    <w:p w:rsidR="000911A8" w:rsidRPr="000911A8" w:rsidRDefault="000911A8" w:rsidP="000911A8">
      <w:pPr>
        <w:numPr>
          <w:ilvl w:val="0"/>
          <w:numId w:val="1"/>
        </w:numPr>
        <w:spacing w:after="160" w:line="360" w:lineRule="auto"/>
        <w:contextualSpacing/>
        <w:jc w:val="both"/>
        <w:rPr>
          <w:rFonts w:ascii="David" w:hAnsi="David"/>
          <w:sz w:val="22"/>
          <w:szCs w:val="22"/>
          <w:rtl/>
        </w:rPr>
      </w:pPr>
      <w:r w:rsidRPr="000911A8">
        <w:rPr>
          <w:rFonts w:ascii="David" w:hAnsi="David"/>
          <w:sz w:val="22"/>
          <w:szCs w:val="22"/>
          <w:rtl/>
        </w:rPr>
        <w:t xml:space="preserve">ויוזכר, המדובר כיום בשישה קטינים. על פני הדברים לפחות שניים מהקטינים יהיו קטינים גם במועד השחרור הצפוי, מסתבר שיתר הקטינים יגיעו לבגרות - כל אחד בעתו - בתוך תקופת המאסר שנקבעה. האם סביר שסוגיית הקשר עם הילדים הקטינים תיבחן רק בעת השחרור בעוד מספר שנים לאחר שנות נתק ארוכות; ומנגד, כי הנתבע יהיה חופשי ליצור קשר עם יתר הילדים עם הגעתם לגיל 18 (כל אחד בעתו) בתוך תקופת המאסר מבלי שיהיה צורך בהגשת תסקיר ובקיום בירור? </w:t>
      </w:r>
    </w:p>
    <w:p w:rsidR="000911A8" w:rsidRPr="000911A8" w:rsidRDefault="000911A8" w:rsidP="007117CB">
      <w:pPr>
        <w:jc w:val="both"/>
        <w:rPr>
          <w:rFonts w:ascii="David" w:eastAsia="Calibri" w:hAnsi="David"/>
          <w:noProof w:val="0"/>
          <w:sz w:val="22"/>
          <w:szCs w:val="22"/>
          <w:rtl/>
        </w:rPr>
      </w:pPr>
    </w:p>
    <w:p w:rsidR="00BD5000" w:rsidRPr="0017465A" w:rsidRDefault="000911A8" w:rsidP="00E52A69">
      <w:pPr>
        <w:numPr>
          <w:ilvl w:val="0"/>
          <w:numId w:val="1"/>
        </w:numPr>
        <w:spacing w:after="160" w:line="360" w:lineRule="auto"/>
        <w:contextualSpacing/>
        <w:jc w:val="both"/>
        <w:rPr>
          <w:rFonts w:ascii="David" w:eastAsia="Calibri" w:hAnsi="David"/>
          <w:noProof w:val="0"/>
          <w:sz w:val="22"/>
          <w:szCs w:val="22"/>
          <w:rtl/>
        </w:rPr>
      </w:pPr>
      <w:r w:rsidRPr="0017465A">
        <w:rPr>
          <w:rFonts w:ascii="David" w:hAnsi="David"/>
          <w:sz w:val="22"/>
          <w:szCs w:val="22"/>
          <w:rtl/>
        </w:rPr>
        <w:t xml:space="preserve">אף אם אקבל את הנחת ב"כ היועמ"ש, לפיה ביסוד שלילת האפוטרופסות עומדת "הכרה חברתית לפיה העבירות שעבר המשיב 1 מעידות על חוסר יכולת של ההורה הפוגע לראות את טובתו של הקטין הנפגע... וכן על חוסר שיקול דעת והבנה של צרכי ילדיו", האם משמעות הדבר היא שאין </w:t>
      </w:r>
      <w:r w:rsidR="00672A73">
        <w:rPr>
          <w:rFonts w:ascii="David" w:hAnsi="David" w:hint="cs"/>
          <w:sz w:val="22"/>
          <w:szCs w:val="22"/>
          <w:rtl/>
        </w:rPr>
        <w:t xml:space="preserve">כל </w:t>
      </w:r>
      <w:r w:rsidRPr="0017465A">
        <w:rPr>
          <w:rFonts w:ascii="David" w:hAnsi="David"/>
          <w:sz w:val="22"/>
          <w:szCs w:val="22"/>
          <w:rtl/>
        </w:rPr>
        <w:t xml:space="preserve">סיכוי שקשר עמו - כעת או בעתיד, באופן זה או אחר - יהיה לטובת הקטינים? האם מדובר בהנחה כל כך חלוטה שאין מקום אפילו לבררה ולו בירור ראשוני באמצעות אנשי המקצוע? </w:t>
      </w:r>
      <w:r w:rsidR="005717F9" w:rsidRPr="0017465A">
        <w:rPr>
          <w:rFonts w:ascii="David" w:hAnsi="David" w:hint="cs"/>
          <w:sz w:val="22"/>
          <w:szCs w:val="22"/>
          <w:rtl/>
        </w:rPr>
        <w:t xml:space="preserve">אף אם נניח שמשמעות שלילת </w:t>
      </w:r>
      <w:r w:rsidR="00BD5000" w:rsidRPr="0017465A">
        <w:rPr>
          <w:rFonts w:ascii="David" w:hAnsi="David" w:hint="cs"/>
          <w:sz w:val="22"/>
          <w:szCs w:val="22"/>
          <w:rtl/>
        </w:rPr>
        <w:t>האפוטרופסות</w:t>
      </w:r>
      <w:r w:rsidR="005717F9" w:rsidRPr="0017465A">
        <w:rPr>
          <w:rFonts w:ascii="David" w:hAnsi="David" w:hint="cs"/>
          <w:sz w:val="22"/>
          <w:szCs w:val="22"/>
          <w:rtl/>
        </w:rPr>
        <w:t xml:space="preserve"> היא קביעה בדבר "חוסר שיקול דעת והבנה של צרכי ילדיו" האם </w:t>
      </w:r>
      <w:r w:rsidR="00BD5000" w:rsidRPr="0017465A">
        <w:rPr>
          <w:rFonts w:ascii="David" w:hAnsi="David" w:hint="cs"/>
          <w:sz w:val="22"/>
          <w:szCs w:val="22"/>
          <w:rtl/>
        </w:rPr>
        <w:t xml:space="preserve">בכל מקרה של חוסר שיקול דעת והבנה של צרכי ילדים (לרבות של הורים שהורשעו </w:t>
      </w:r>
      <w:r w:rsidR="0017465A" w:rsidRPr="0017465A">
        <w:rPr>
          <w:rFonts w:ascii="David" w:hAnsi="David" w:hint="cs"/>
          <w:sz w:val="22"/>
          <w:szCs w:val="22"/>
          <w:rtl/>
        </w:rPr>
        <w:t xml:space="preserve">בעבירות חמורות של הזנחת ילדיהם או התעללות בהם </w:t>
      </w:r>
      <w:r w:rsidR="00BD5000" w:rsidRPr="0017465A">
        <w:rPr>
          <w:rFonts w:ascii="David" w:eastAsia="Calibri" w:hAnsi="David" w:hint="cs"/>
          <w:noProof w:val="0"/>
          <w:sz w:val="22"/>
          <w:szCs w:val="22"/>
          <w:rtl/>
        </w:rPr>
        <w:t xml:space="preserve">או הורים שילדיהם הוצאו ממשמורתם לפי </w:t>
      </w:r>
      <w:r w:rsidR="00BD5000" w:rsidRPr="0017465A">
        <w:rPr>
          <w:rFonts w:ascii="David" w:eastAsia="Calibri" w:hAnsi="David"/>
          <w:noProof w:val="0"/>
          <w:sz w:val="22"/>
          <w:szCs w:val="22"/>
          <w:rtl/>
        </w:rPr>
        <w:t>חוק הנוער (טיפול והשגחה), תש"ך-1960</w:t>
      </w:r>
      <w:r w:rsidR="00672A73">
        <w:rPr>
          <w:rFonts w:ascii="David" w:eastAsia="Calibri" w:hAnsi="David" w:hint="cs"/>
          <w:noProof w:val="0"/>
          <w:sz w:val="22"/>
          <w:szCs w:val="22"/>
          <w:rtl/>
        </w:rPr>
        <w:t xml:space="preserve">) אנו מניחים כי שמירת קשר עם ההורה היא שלא לטובת הילדים ונמנעים אפילו מלערוך בירור בסוגיה? </w:t>
      </w:r>
    </w:p>
    <w:p w:rsidR="00BD5000" w:rsidRPr="000911A8" w:rsidRDefault="00BD5000" w:rsidP="007117CB">
      <w:pPr>
        <w:jc w:val="both"/>
        <w:rPr>
          <w:rFonts w:ascii="David" w:eastAsia="Calibri" w:hAnsi="David"/>
          <w:noProof w:val="0"/>
          <w:sz w:val="22"/>
          <w:szCs w:val="22"/>
          <w:rtl/>
        </w:rPr>
      </w:pPr>
    </w:p>
    <w:p w:rsidR="000911A8" w:rsidRPr="000911A8" w:rsidRDefault="000911A8" w:rsidP="00672A73">
      <w:pPr>
        <w:numPr>
          <w:ilvl w:val="0"/>
          <w:numId w:val="1"/>
        </w:numPr>
        <w:spacing w:after="160" w:line="360" w:lineRule="auto"/>
        <w:contextualSpacing/>
        <w:jc w:val="both"/>
        <w:rPr>
          <w:rFonts w:ascii="David" w:hAnsi="David"/>
          <w:color w:val="000000"/>
          <w:sz w:val="22"/>
          <w:szCs w:val="22"/>
          <w:rtl/>
        </w:rPr>
      </w:pPr>
      <w:r w:rsidRPr="000911A8">
        <w:rPr>
          <w:rFonts w:ascii="David" w:hAnsi="David"/>
          <w:sz w:val="22"/>
          <w:szCs w:val="22"/>
          <w:rtl/>
        </w:rPr>
        <w:t>בסעיף 15 לתגובתו מיום 3.5.23 טען ב"כ היועמ"ש, כי בתגובת הנתבע "אין כל טענה כי קשר בין המשיב לקטינים נדרשים לשם שמירה על ענייני הקטינים ולטובתם ואין אף רא</w:t>
      </w:r>
      <w:r w:rsidR="00DD5405" w:rsidRPr="00F706C2">
        <w:rPr>
          <w:rFonts w:ascii="David" w:hAnsi="David" w:hint="cs"/>
          <w:sz w:val="22"/>
          <w:szCs w:val="22"/>
          <w:rtl/>
        </w:rPr>
        <w:t>ש</w:t>
      </w:r>
      <w:r w:rsidRPr="000911A8">
        <w:rPr>
          <w:rFonts w:ascii="David" w:hAnsi="David"/>
          <w:sz w:val="22"/>
          <w:szCs w:val="22"/>
          <w:rtl/>
        </w:rPr>
        <w:t xml:space="preserve">ית ראיה לכך" והפנה לתיק תמ"ש (משפחה קרית גת) 14937-07-20 </w:t>
      </w:r>
      <w:r w:rsidRPr="000911A8">
        <w:rPr>
          <w:rFonts w:ascii="David" w:hAnsi="David"/>
          <w:b/>
          <w:bCs/>
          <w:sz w:val="22"/>
          <w:szCs w:val="22"/>
          <w:rtl/>
        </w:rPr>
        <w:t>ו' נ' משרד הרווחה</w:t>
      </w:r>
      <w:r w:rsidRPr="000911A8">
        <w:rPr>
          <w:rFonts w:ascii="David" w:hAnsi="David"/>
          <w:sz w:val="22"/>
          <w:szCs w:val="22"/>
          <w:rtl/>
        </w:rPr>
        <w:t xml:space="preserve"> (15.2.21) בו אכן נדחתה בקשה לשמירת קשר בין אב שהורשע ברצח א</w:t>
      </w:r>
      <w:r w:rsidR="008B7A7A" w:rsidRPr="00F706C2">
        <w:rPr>
          <w:rFonts w:ascii="David" w:hAnsi="David"/>
          <w:sz w:val="22"/>
          <w:szCs w:val="22"/>
          <w:rtl/>
        </w:rPr>
        <w:t>ֵ</w:t>
      </w:r>
      <w:r w:rsidR="008B7A7A" w:rsidRPr="00F706C2">
        <w:rPr>
          <w:rFonts w:ascii="David" w:hAnsi="David" w:hint="cs"/>
          <w:sz w:val="22"/>
          <w:szCs w:val="22"/>
          <w:rtl/>
        </w:rPr>
        <w:t>ם בתו לבין הבת הקטינה</w:t>
      </w:r>
      <w:r w:rsidRPr="000911A8">
        <w:rPr>
          <w:rFonts w:ascii="David" w:hAnsi="David"/>
          <w:sz w:val="22"/>
          <w:szCs w:val="22"/>
          <w:rtl/>
        </w:rPr>
        <w:t xml:space="preserve"> לכאורה מבלי שהתבקש תסקיר. אינני סבור ש</w:t>
      </w:r>
      <w:r w:rsidR="00672A73">
        <w:rPr>
          <w:rFonts w:ascii="David" w:hAnsi="David" w:hint="cs"/>
          <w:sz w:val="22"/>
          <w:szCs w:val="22"/>
          <w:rtl/>
        </w:rPr>
        <w:t>המקרים דומים</w:t>
      </w:r>
      <w:r w:rsidRPr="000911A8">
        <w:rPr>
          <w:rFonts w:ascii="David" w:hAnsi="David"/>
          <w:sz w:val="22"/>
          <w:szCs w:val="22"/>
          <w:rtl/>
        </w:rPr>
        <w:t>. באותו מקרה מדובר היה בקטינה אחת (גילה לא פורט בהחלטה) אשר הושמה באומנה אצל דודיה, ובקשת אביה היתה "</w:t>
      </w:r>
      <w:r w:rsidR="008B7A7A" w:rsidRPr="00F706C2">
        <w:rPr>
          <w:rFonts w:ascii="David" w:hAnsi="David" w:hint="cs"/>
          <w:sz w:val="22"/>
          <w:szCs w:val="22"/>
          <w:rtl/>
        </w:rPr>
        <w:t>ל</w:t>
      </w:r>
      <w:r w:rsidRPr="000911A8">
        <w:rPr>
          <w:rFonts w:ascii="David" w:hAnsi="David"/>
          <w:sz w:val="22"/>
          <w:szCs w:val="22"/>
          <w:rtl/>
        </w:rPr>
        <w:t xml:space="preserve">קבל תמונה עדכנית של הקטינה מדי חצי שנה או כל תקופה אחרת שתיקבע". בקשה כאמור אכן ממוקדת בזכויות האב (שאפוטרופסותו נשללה) ולא בטובת הקטינה. האב לא טען שטובת הקטינה להיות עמו בקשר, </w:t>
      </w:r>
      <w:r w:rsidR="00F706C2" w:rsidRPr="00F706C2">
        <w:rPr>
          <w:rFonts w:ascii="David" w:hAnsi="David" w:hint="cs"/>
          <w:sz w:val="22"/>
          <w:szCs w:val="22"/>
          <w:rtl/>
        </w:rPr>
        <w:t xml:space="preserve">אין מדובר בקשר אלא בהעברת תמונות, </w:t>
      </w:r>
      <w:r w:rsidRPr="000911A8">
        <w:rPr>
          <w:rFonts w:ascii="David" w:hAnsi="David"/>
          <w:sz w:val="22"/>
          <w:szCs w:val="22"/>
          <w:rtl/>
        </w:rPr>
        <w:t xml:space="preserve">וממילא גם לא היה מקום לבקש תסקיר לברר את טובת הקטינה בסוגיה. עוד נאמר באותה </w:t>
      </w:r>
      <w:r w:rsidRPr="000911A8">
        <w:rPr>
          <w:rFonts w:ascii="David" w:hAnsi="David"/>
          <w:sz w:val="22"/>
          <w:szCs w:val="22"/>
          <w:rtl/>
        </w:rPr>
        <w:lastRenderedPageBreak/>
        <w:t xml:space="preserve">החלטה, כי קבלת הבקשה תפגע גם בהורי האומנה "הנדרשים לתעצומות נפש ולליווי וטיפול תומך בהתמודדות יום יומית עם אירוע טראומטי של רצח אם הקטינה", שיקול שאינו רלבנטי ולא הועלה בענייננו. בית המשפט אף הדגיש, כי טענת האב היתה </w:t>
      </w:r>
      <w:r w:rsidRPr="000911A8">
        <w:rPr>
          <w:rFonts w:ascii="David" w:hAnsi="David"/>
          <w:color w:val="000000"/>
          <w:sz w:val="22"/>
          <w:szCs w:val="22"/>
          <w:rtl/>
        </w:rPr>
        <w:t xml:space="preserve">"שאין בבקשתו כדי לפגוע בקטינה או בשגרת יומה" ואולם טענה זו שכלל אינה טוענת שהיעתרות לבקשה היא לטובת הקטינה לא יכולה להצדיק להיעתר לה. בענייננו הדברים שונים כמעט בכל פרמטר. </w:t>
      </w:r>
    </w:p>
    <w:p w:rsidR="000911A8" w:rsidRPr="000911A8" w:rsidRDefault="000911A8" w:rsidP="007117CB">
      <w:pPr>
        <w:jc w:val="both"/>
        <w:rPr>
          <w:rFonts w:ascii="David" w:eastAsia="Calibri" w:hAnsi="David"/>
          <w:noProof w:val="0"/>
          <w:color w:val="000000"/>
          <w:sz w:val="22"/>
          <w:szCs w:val="22"/>
          <w:rtl/>
        </w:rPr>
      </w:pPr>
    </w:p>
    <w:p w:rsidR="000911A8" w:rsidRPr="000911A8" w:rsidRDefault="000911A8" w:rsidP="00F706C2">
      <w:pPr>
        <w:numPr>
          <w:ilvl w:val="0"/>
          <w:numId w:val="1"/>
        </w:numPr>
        <w:spacing w:after="160" w:line="360" w:lineRule="auto"/>
        <w:contextualSpacing/>
        <w:jc w:val="both"/>
        <w:rPr>
          <w:rFonts w:ascii="David" w:hAnsi="David"/>
          <w:color w:val="000000"/>
          <w:sz w:val="22"/>
          <w:szCs w:val="22"/>
          <w:rtl/>
        </w:rPr>
      </w:pPr>
      <w:r w:rsidRPr="000911A8">
        <w:rPr>
          <w:rFonts w:ascii="David" w:hAnsi="David"/>
          <w:color w:val="000000"/>
          <w:sz w:val="22"/>
          <w:szCs w:val="22"/>
          <w:rtl/>
        </w:rPr>
        <w:t>המעשים בהם הורשע הנתבע חמורים. על מעשים מסוג זה כבר נאמר "כִּי כַּאֲשֶׁר יָקוּם אִישׁ עַל רֵעֵהוּ וּרְצָחוֹ נֶפֶשׁ כֵּן הַדָּבָר הַזֶּה" (דברים כב, כו) ומסתבר שעוד יותר כך שעה שמדובר בפגיעה של הורה בבנותיו</w:t>
      </w:r>
      <w:r w:rsidR="00F706C2">
        <w:rPr>
          <w:rFonts w:ascii="David" w:hAnsi="David" w:hint="cs"/>
          <w:color w:val="000000"/>
          <w:sz w:val="22"/>
          <w:szCs w:val="22"/>
          <w:rtl/>
        </w:rPr>
        <w:t xml:space="preserve"> שלו</w:t>
      </w:r>
      <w:r w:rsidRPr="000911A8">
        <w:rPr>
          <w:rFonts w:ascii="David" w:hAnsi="David"/>
          <w:color w:val="000000"/>
          <w:sz w:val="22"/>
          <w:szCs w:val="22"/>
          <w:rtl/>
        </w:rPr>
        <w:t xml:space="preserve">. אפילו נניח, כי המחוקק שלל מהורה שביצע מעשים שכאלה את הזכות להיות בקשר עם ילדיו - ואולי נכון יותר לומר שנשללה זכותו להיות הגורם שיקבל את ההחלטה בעניין - עדיין יש לברר אם יתכן שטובתם של הקטינים או מי מהם להיות בקשר זה או אחר עם אביהם. למעשה, והדברים חורגים מהחלטה זו שכל עניינה קבלת תסקיר, הנושא המורכב של שמירת קשר בין קטינים לבין הורה שרצח את ההורה השני נחקר באופן מקיף מזה שנים, בפירוש ישנם גם מקרים בהם קטינים מעוניינים לשמור על קשר </w:t>
      </w:r>
      <w:r w:rsidR="000D4FDC">
        <w:rPr>
          <w:rFonts w:ascii="David" w:hAnsi="David" w:hint="cs"/>
          <w:color w:val="000000"/>
          <w:sz w:val="22"/>
          <w:szCs w:val="22"/>
          <w:rtl/>
        </w:rPr>
        <w:t xml:space="preserve">כאמור </w:t>
      </w:r>
      <w:r w:rsidRPr="000911A8">
        <w:rPr>
          <w:rFonts w:ascii="David" w:hAnsi="David"/>
          <w:color w:val="000000"/>
          <w:sz w:val="22"/>
          <w:szCs w:val="22"/>
          <w:rtl/>
        </w:rPr>
        <w:t xml:space="preserve">ונמצא שהוא בעל ערך מיטיב עבורם (דברים אלה מתייחסים לשלילת אפוטרופסות לפי סעיף 27א(א)(1) ומן הסתם קיים גם ידע מחקרי הרלבנטי לסעיף 27א(א)(2)). האתרים הרלבנטיים גדושים מאמרים בתחום, ולענייננו די לציין כי ישנם מקרים בהם שמירה על קשר עם ההורה הפוגע היא דווקא לטובת הקטינים. משמעות הדברים היא, שאין לדידי מקום לחסום מראש את האפשרות על דרך הימנעות מעריכת תסקיר. </w:t>
      </w:r>
    </w:p>
    <w:p w:rsidR="000911A8" w:rsidRPr="000911A8" w:rsidRDefault="000911A8" w:rsidP="007117CB">
      <w:pPr>
        <w:rPr>
          <w:rFonts w:ascii="David" w:eastAsia="Calibri" w:hAnsi="David"/>
          <w:noProof w:val="0"/>
          <w:color w:val="000000"/>
          <w:sz w:val="22"/>
          <w:szCs w:val="22"/>
          <w:rtl/>
        </w:rPr>
      </w:pPr>
    </w:p>
    <w:p w:rsidR="000911A8" w:rsidRDefault="000911A8" w:rsidP="006F7401">
      <w:pPr>
        <w:numPr>
          <w:ilvl w:val="0"/>
          <w:numId w:val="1"/>
        </w:numPr>
        <w:spacing w:after="160" w:line="360" w:lineRule="auto"/>
        <w:contextualSpacing/>
        <w:jc w:val="both"/>
        <w:rPr>
          <w:rFonts w:ascii="David" w:hAnsi="David"/>
          <w:color w:val="000000"/>
          <w:sz w:val="22"/>
          <w:szCs w:val="22"/>
        </w:rPr>
      </w:pPr>
      <w:r w:rsidRPr="000911A8">
        <w:rPr>
          <w:rFonts w:ascii="David" w:hAnsi="David"/>
          <w:color w:val="000000"/>
          <w:sz w:val="22"/>
          <w:szCs w:val="22"/>
          <w:rtl/>
        </w:rPr>
        <w:t>סוף דבר, סבורני כי בנסיבות יש לקבל תסקיר עו"ס לסדרי דין ביחס לבקשת הנתבע "לקביעת הסדרי התראות או קשר עם הקטינים, כאשר אמת המידה תהיה 'טובת הקטינים ורצונותיהם' (ולא 'זכותו' של הנתבע כאפוטרופוס אשר נשללה)". ושוב, כאמור בהחלטה מיום 3.5.23 "בית המשפט אינו מביע כל עמדה לגבי סיכוייה של הבקשה לקביעת הסדרי התראות או קשר עם הקטינים או מי מהם, כעת או בהמשך. יתכן שהדבר אינו לטובת הקטינים, המעשים בהם הורשע הנתבע לכאורה קשים וחמורים</w:t>
      </w:r>
      <w:r w:rsidR="006F7401">
        <w:rPr>
          <w:rFonts w:ascii="David" w:hAnsi="David" w:hint="cs"/>
          <w:color w:val="000000"/>
          <w:sz w:val="22"/>
          <w:szCs w:val="22"/>
          <w:rtl/>
        </w:rPr>
        <w:t>,</w:t>
      </w:r>
      <w:r w:rsidRPr="000911A8">
        <w:rPr>
          <w:rFonts w:ascii="David" w:hAnsi="David"/>
          <w:color w:val="000000"/>
          <w:sz w:val="22"/>
          <w:szCs w:val="22"/>
          <w:rtl/>
        </w:rPr>
        <w:t xml:space="preserve"> ויתכן שיש לכבד בהקשר זה את עמדת ההורה שנותר אפוטרופוס (התובעת). החלטה זו מתייחסת לשאלה אם לקיים בירור בעניין". התסקיר יוגש בתוך 150 יום.</w:t>
      </w:r>
    </w:p>
    <w:p w:rsidR="006F7401" w:rsidRPr="007117CB" w:rsidRDefault="006F7401" w:rsidP="007117CB">
      <w:pPr>
        <w:ind w:left="360"/>
        <w:rPr>
          <w:rFonts w:ascii="David" w:hAnsi="David"/>
          <w:color w:val="000000"/>
          <w:sz w:val="22"/>
          <w:szCs w:val="22"/>
          <w:rtl/>
        </w:rPr>
      </w:pPr>
    </w:p>
    <w:p w:rsidR="006F7401" w:rsidRDefault="006F7401" w:rsidP="006F7401">
      <w:pPr>
        <w:numPr>
          <w:ilvl w:val="0"/>
          <w:numId w:val="1"/>
        </w:numPr>
        <w:spacing w:after="160" w:line="360" w:lineRule="auto"/>
        <w:contextualSpacing/>
        <w:jc w:val="both"/>
        <w:rPr>
          <w:rFonts w:ascii="David" w:hAnsi="David"/>
          <w:color w:val="000000"/>
          <w:sz w:val="22"/>
          <w:szCs w:val="22"/>
        </w:rPr>
      </w:pPr>
      <w:r>
        <w:rPr>
          <w:rFonts w:ascii="David" w:hAnsi="David" w:hint="cs"/>
          <w:color w:val="000000"/>
          <w:sz w:val="22"/>
          <w:szCs w:val="22"/>
          <w:rtl/>
        </w:rPr>
        <w:t xml:space="preserve">עותק יועבר לצדדים ולעו"ס לסדרי דין. </w:t>
      </w:r>
    </w:p>
    <w:p w:rsidR="00F706C2" w:rsidRPr="007117CB" w:rsidRDefault="00F706C2" w:rsidP="007117CB">
      <w:pPr>
        <w:ind w:left="360"/>
        <w:rPr>
          <w:rFonts w:ascii="David" w:hAnsi="David"/>
          <w:color w:val="000000"/>
          <w:sz w:val="22"/>
          <w:szCs w:val="22"/>
          <w:rtl/>
        </w:rPr>
      </w:pPr>
    </w:p>
    <w:p w:rsidR="00F706C2" w:rsidRPr="000911A8" w:rsidRDefault="00F706C2" w:rsidP="000911A8">
      <w:pPr>
        <w:numPr>
          <w:ilvl w:val="0"/>
          <w:numId w:val="1"/>
        </w:numPr>
        <w:spacing w:after="160" w:line="360" w:lineRule="auto"/>
        <w:contextualSpacing/>
        <w:jc w:val="both"/>
        <w:rPr>
          <w:rFonts w:ascii="David" w:hAnsi="David"/>
          <w:color w:val="000000"/>
          <w:sz w:val="22"/>
          <w:szCs w:val="22"/>
          <w:rtl/>
        </w:rPr>
      </w:pPr>
      <w:r>
        <w:rPr>
          <w:rFonts w:ascii="David" w:hAnsi="David" w:hint="cs"/>
          <w:color w:val="000000"/>
          <w:sz w:val="22"/>
          <w:szCs w:val="22"/>
          <w:rtl/>
        </w:rPr>
        <w:t>מותר לפרסום בכפוף ל</w:t>
      </w:r>
      <w:r w:rsidR="000E7015">
        <w:rPr>
          <w:rFonts w:ascii="David" w:hAnsi="David" w:hint="cs"/>
          <w:color w:val="000000"/>
          <w:sz w:val="22"/>
          <w:szCs w:val="22"/>
          <w:rtl/>
        </w:rPr>
        <w:t xml:space="preserve">השמטת פרטים מזהים ותיקוני עריכה בהתאם. </w:t>
      </w:r>
    </w:p>
    <w:p w:rsidR="000911A8" w:rsidRDefault="000911A8" w:rsidP="007117CB">
      <w:pPr>
        <w:jc w:val="both"/>
        <w:rPr>
          <w:rFonts w:ascii="Arial" w:hAnsi="Arial"/>
          <w:noProof w:val="0"/>
          <w:rtl/>
        </w:rPr>
      </w:pPr>
    </w:p>
    <w:p w:rsidR="002914D6" w:rsidRPr="000911A8" w:rsidRDefault="00904FA7">
      <w:pPr>
        <w:spacing w:line="360" w:lineRule="auto"/>
        <w:jc w:val="both"/>
        <w:rPr>
          <w:rFonts w:ascii="Arial" w:hAnsi="Arial"/>
          <w:noProof w:val="0"/>
          <w:sz w:val="22"/>
          <w:szCs w:val="22"/>
          <w:rtl/>
        </w:rPr>
      </w:pPr>
      <w:r w:rsidRPr="000911A8">
        <w:rPr>
          <w:rFonts w:ascii="Arial" w:hAnsi="Arial"/>
          <w:noProof w:val="0"/>
          <w:sz w:val="22"/>
          <w:szCs w:val="22"/>
          <w:rtl/>
        </w:rPr>
        <w:t>נית</w:t>
      </w:r>
      <w:r w:rsidRPr="000911A8">
        <w:rPr>
          <w:rFonts w:ascii="Arial" w:hAnsi="Arial" w:hint="cs"/>
          <w:noProof w:val="0"/>
          <w:sz w:val="22"/>
          <w:szCs w:val="22"/>
          <w:rtl/>
        </w:rPr>
        <w:t>נה</w:t>
      </w:r>
      <w:r w:rsidR="00011212" w:rsidRPr="000911A8">
        <w:rPr>
          <w:rFonts w:ascii="Arial" w:hAnsi="Arial"/>
          <w:noProof w:val="0"/>
          <w:sz w:val="22"/>
          <w:szCs w:val="22"/>
          <w:rtl/>
        </w:rPr>
        <w:t xml:space="preserve"> היום,  </w:t>
      </w:r>
      <w:sdt>
        <w:sdtPr>
          <w:rPr>
            <w:sz w:val="22"/>
            <w:szCs w:val="22"/>
            <w:rtl/>
          </w:rPr>
          <w:alias w:val="1455"/>
          <w:tag w:val="1455"/>
          <w:id w:val="1321697131"/>
          <w:text w:multiLine="1"/>
        </w:sdtPr>
        <w:sdtEndPr/>
        <w:sdtContent>
          <w:r>
            <w:rPr>
              <w:rFonts w:ascii="Arial" w:hAnsi="Arial"/>
              <w:noProof w:val="0"/>
              <w:sz w:val="22"/>
              <w:szCs w:val="22"/>
              <w:rtl/>
            </w:rPr>
            <w:t>ט"ו סיוון תשפ"ג</w:t>
          </w:r>
        </w:sdtContent>
      </w:sdt>
      <w:r w:rsidR="00011212" w:rsidRPr="000911A8">
        <w:rPr>
          <w:rFonts w:ascii="Arial" w:hAnsi="Arial"/>
          <w:noProof w:val="0"/>
          <w:sz w:val="22"/>
          <w:szCs w:val="22"/>
          <w:rtl/>
        </w:rPr>
        <w:t xml:space="preserve">, </w:t>
      </w:r>
      <w:sdt>
        <w:sdtPr>
          <w:rPr>
            <w:sz w:val="22"/>
            <w:szCs w:val="22"/>
            <w:rtl/>
          </w:rPr>
          <w:alias w:val="1456"/>
          <w:tag w:val="1456"/>
          <w:id w:val="1987278298"/>
          <w:text w:multiLine="1"/>
        </w:sdtPr>
        <w:sdtEndPr/>
        <w:sdtContent>
          <w:r>
            <w:rPr>
              <w:rFonts w:ascii="Arial" w:hAnsi="Arial"/>
              <w:noProof w:val="0"/>
              <w:sz w:val="22"/>
              <w:szCs w:val="22"/>
              <w:rtl/>
            </w:rPr>
            <w:t>04 יוני 2023</w:t>
          </w:r>
        </w:sdtContent>
      </w:sdt>
      <w:r w:rsidR="00011212" w:rsidRPr="000911A8">
        <w:rPr>
          <w:rFonts w:ascii="Arial" w:hAnsi="Arial"/>
          <w:noProof w:val="0"/>
          <w:sz w:val="22"/>
          <w:szCs w:val="22"/>
          <w:rtl/>
        </w:rPr>
        <w:t>, בהעדר הצדדים.</w:t>
      </w:r>
    </w:p>
    <w:p w:rsidR="00CC29C2" w:rsidRDefault="00CC29C2" w:rsidP="007117CB">
      <w:pPr>
        <w:jc w:val="center"/>
        <w:rPr>
          <w:rFonts w:ascii="Arial" w:hAnsi="Arial"/>
          <w:noProof w:val="0"/>
          <w:rtl/>
        </w:rPr>
      </w:pPr>
    </w:p>
    <w:p w:rsidR="002914D6" w:rsidRDefault="00CC29C2" w:rsidP="00CC29C2">
      <w:pPr>
        <w:spacing w:line="360" w:lineRule="auto"/>
        <w:jc w:val="center"/>
      </w:pPr>
      <w:r>
        <w:rPr>
          <w:rFonts w:ascii="Arial" w:hAnsi="Arial"/>
          <w:noProof w:val="0"/>
          <w:rtl/>
        </w:rPr>
        <w:tab/>
      </w:r>
      <w:r>
        <w:rPr>
          <w:rFonts w:ascii="Arial" w:hAnsi="Arial"/>
          <w:noProof w:val="0"/>
          <w:rtl/>
        </w:rPr>
        <w:tab/>
      </w:r>
      <w:sdt>
        <w:sdtPr>
          <w:rPr>
            <w:rtl/>
          </w:rPr>
          <w:alias w:val="MergeField"/>
          <w:tag w:val="1237"/>
          <w:id w:val="-120302682"/>
        </w:sdtPr>
        <w:sdtEndPr/>
        <w:sdtContent>
          <w:r w:rsidR="009C1709">
            <w:drawing>
              <wp:inline distT="0" distB="0" distL="0" distR="0" wp14:editId="50D07946">
                <wp:extent cx="952499" cy="933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952499" cy="933450"/>
                        </a:xfrm>
                        <a:prstGeom prst="rect">
                          <a:avLst/>
                        </a:prstGeom>
                      </pic:spPr>
                    </pic:pic>
                  </a:graphicData>
                </a:graphic>
              </wp:inline>
            </w:drawing>
          </w:r>
        </w:sdtContent>
      </w:sdt>
    </w:p>
    <w:p w:rsidR="002914D6" w:rsidRDefault="002914D6" w:rsidP="00CC29C2">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0782" w:rsidRDefault="00260782">
      <w:r>
        <w:separator/>
      </w:r>
    </w:p>
  </w:endnote>
  <w:endnote w:type="continuationSeparator" w:id="0">
    <w:p w:rsidR="00260782" w:rsidRDefault="00260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477D" w:rsidRDefault="0022477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245722">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245722">
      <w:rPr>
        <w:rStyle w:val="ab"/>
        <w:rtl/>
      </w:rPr>
      <w:t>4</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477D" w:rsidRDefault="0022477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0782" w:rsidRDefault="00260782">
      <w:r>
        <w:separator/>
      </w:r>
    </w:p>
  </w:footnote>
  <w:footnote w:type="continuationSeparator" w:id="0">
    <w:p w:rsidR="00260782" w:rsidRDefault="002607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477D" w:rsidRDefault="0022477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4"/>
      <w:gridCol w:w="3591"/>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04 יוני 2023</w:t>
              </w:r>
            </w:p>
          </w:tc>
        </w:sdtContent>
      </w:sdt>
    </w:tr>
    <w:tr w:rsidR="002914D6">
      <w:trPr>
        <w:trHeight w:val="337"/>
        <w:jc w:val="center"/>
      </w:trPr>
      <w:tc>
        <w:tcPr>
          <w:tcW w:w="8721" w:type="dxa"/>
          <w:gridSpan w:val="2"/>
        </w:tcPr>
        <w:p w:rsidR="002914D6" w:rsidRDefault="00260782" w:rsidP="00F435C2">
          <w:pPr>
            <w:rPr>
              <w:b/>
              <w:bCs/>
              <w:noProof w:val="0"/>
              <w:sz w:val="26"/>
              <w:szCs w:val="26"/>
              <w:rtl/>
            </w:rPr>
          </w:pPr>
          <w:sdt>
            <w:sdtPr>
              <w:rPr>
                <w:rtl/>
              </w:rPr>
              <w:alias w:val="1170"/>
              <w:tag w:val="1170"/>
              <w:id w:val="632838173"/>
              <w:text w:multiLine="1"/>
            </w:sdtPr>
            <w:sdtEndPr/>
            <w:sdtContent>
              <w:r w:rsidR="00CC29C2">
                <w:rPr>
                  <w:b/>
                  <w:bCs/>
                  <w:noProof w:val="0"/>
                  <w:sz w:val="26"/>
                  <w:szCs w:val="26"/>
                  <w:rtl/>
                </w:rPr>
                <w:t>תלה"מ</w:t>
              </w:r>
            </w:sdtContent>
          </w:sdt>
          <w:r w:rsidR="00011212">
            <w:rPr>
              <w:b/>
              <w:bCs/>
              <w:noProof w:val="0"/>
              <w:sz w:val="26"/>
              <w:szCs w:val="26"/>
              <w:rtl/>
            </w:rPr>
            <w:t xml:space="preserve"> </w:t>
          </w:r>
          <w:sdt>
            <w:sdtPr>
              <w:rPr>
                <w:rtl/>
              </w:rPr>
              <w:alias w:val="1171"/>
              <w:tag w:val="1171"/>
              <w:id w:val="-1684506308"/>
              <w:text w:multiLine="1"/>
            </w:sdtPr>
            <w:sdtEndPr/>
            <w:sdtContent>
              <w:r w:rsidR="00CC29C2">
                <w:rPr>
                  <w:b/>
                  <w:bCs/>
                  <w:noProof w:val="0"/>
                  <w:sz w:val="26"/>
                  <w:szCs w:val="26"/>
                  <w:rtl/>
                </w:rPr>
                <w:t>42942-11-22</w:t>
              </w:r>
            </w:sdtContent>
          </w:sdt>
          <w:r w:rsidR="00011212">
            <w:rPr>
              <w:b/>
              <w:bCs/>
              <w:noProof w:val="0"/>
              <w:sz w:val="26"/>
              <w:szCs w:val="26"/>
              <w:rtl/>
            </w:rPr>
            <w:t xml:space="preserve"> </w:t>
          </w:r>
          <w:sdt>
            <w:sdtPr>
              <w:rPr>
                <w:rtl/>
              </w:rPr>
              <w:alias w:val="1172"/>
              <w:tag w:val="1172"/>
              <w:id w:val="1484202908"/>
              <w:text w:multiLine="1"/>
            </w:sdtPr>
            <w:sdtEndPr/>
            <w:sdtContent>
              <w:r w:rsidR="00F435C2">
                <w:rPr>
                  <w:rFonts w:hint="cs"/>
                  <w:b/>
                  <w:bCs/>
                  <w:noProof w:val="0"/>
                  <w:sz w:val="26"/>
                  <w:szCs w:val="26"/>
                  <w:rtl/>
                </w:rPr>
                <w:t>פלונית</w:t>
              </w:r>
              <w:r w:rsidR="00CC29C2">
                <w:rPr>
                  <w:b/>
                  <w:bCs/>
                  <w:noProof w:val="0"/>
                  <w:sz w:val="26"/>
                  <w:szCs w:val="26"/>
                  <w:rtl/>
                </w:rPr>
                <w:t xml:space="preserve"> נ' </w:t>
              </w:r>
              <w:r w:rsidR="00F435C2">
                <w:rPr>
                  <w:rFonts w:hint="cs"/>
                  <w:b/>
                  <w:bCs/>
                  <w:noProof w:val="0"/>
                  <w:sz w:val="26"/>
                  <w:szCs w:val="26"/>
                  <w:rtl/>
                </w:rPr>
                <w:t xml:space="preserve">פלוני </w:t>
              </w:r>
              <w:r w:rsidR="00CC29C2">
                <w:rPr>
                  <w:b/>
                  <w:bCs/>
                  <w:noProof w:val="0"/>
                  <w:sz w:val="26"/>
                  <w:szCs w:val="26"/>
                  <w:rtl/>
                </w:rPr>
                <w:t>(עציר) ואח'</w:t>
              </w:r>
            </w:sdtContent>
          </w:sdt>
        </w:p>
        <w:p w:rsidR="002914D6" w:rsidRDefault="002914D6">
          <w:pPr>
            <w:rPr>
              <w:rtl/>
            </w:rPr>
          </w:pPr>
        </w:p>
        <w:p w:rsidR="00865BD5" w:rsidRDefault="00865BD5">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477D" w:rsidRDefault="0022477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222F20"/>
    <w:multiLevelType w:val="hybridMultilevel"/>
    <w:tmpl w:val="46244A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911A8"/>
    <w:rsid w:val="000D4FDC"/>
    <w:rsid w:val="000E7015"/>
    <w:rsid w:val="000F081C"/>
    <w:rsid w:val="0014058F"/>
    <w:rsid w:val="0016490B"/>
    <w:rsid w:val="0017465A"/>
    <w:rsid w:val="0019474B"/>
    <w:rsid w:val="001A3703"/>
    <w:rsid w:val="0022477D"/>
    <w:rsid w:val="00245722"/>
    <w:rsid w:val="00260782"/>
    <w:rsid w:val="00273D47"/>
    <w:rsid w:val="002856D3"/>
    <w:rsid w:val="002914D6"/>
    <w:rsid w:val="002F5307"/>
    <w:rsid w:val="00322F9F"/>
    <w:rsid w:val="00377056"/>
    <w:rsid w:val="003A0652"/>
    <w:rsid w:val="003C5861"/>
    <w:rsid w:val="003C7650"/>
    <w:rsid w:val="0042787A"/>
    <w:rsid w:val="00472642"/>
    <w:rsid w:val="004F4787"/>
    <w:rsid w:val="00530E94"/>
    <w:rsid w:val="005717F9"/>
    <w:rsid w:val="0059304F"/>
    <w:rsid w:val="005E66BB"/>
    <w:rsid w:val="00672A73"/>
    <w:rsid w:val="006F7401"/>
    <w:rsid w:val="007117CB"/>
    <w:rsid w:val="00822AA5"/>
    <w:rsid w:val="00865BD5"/>
    <w:rsid w:val="008B7A7A"/>
    <w:rsid w:val="00904FA7"/>
    <w:rsid w:val="00921E03"/>
    <w:rsid w:val="009A04C9"/>
    <w:rsid w:val="009B1A1B"/>
    <w:rsid w:val="009C1709"/>
    <w:rsid w:val="009D1711"/>
    <w:rsid w:val="00A44487"/>
    <w:rsid w:val="00A7661B"/>
    <w:rsid w:val="00B234CE"/>
    <w:rsid w:val="00B26303"/>
    <w:rsid w:val="00B31305"/>
    <w:rsid w:val="00BD5000"/>
    <w:rsid w:val="00C304B8"/>
    <w:rsid w:val="00CC29C2"/>
    <w:rsid w:val="00CE451B"/>
    <w:rsid w:val="00CE7F78"/>
    <w:rsid w:val="00CF0C62"/>
    <w:rsid w:val="00DA714E"/>
    <w:rsid w:val="00DD5405"/>
    <w:rsid w:val="00E72C9F"/>
    <w:rsid w:val="00E8205A"/>
    <w:rsid w:val="00E871DE"/>
    <w:rsid w:val="00EC118E"/>
    <w:rsid w:val="00F435C2"/>
    <w:rsid w:val="00F50E07"/>
    <w:rsid w:val="00F706C2"/>
    <w:rsid w:val="00F863E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e">
    <w:name w:val="List Paragraph"/>
    <w:basedOn w:val="a"/>
    <w:uiPriority w:val="34"/>
    <w:qFormat/>
    <w:rsid w:val="00F706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57967793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1535</Words>
  <Characters>7678</Characters>
  <Application>Microsoft Office Word</Application>
  <DocSecurity>0</DocSecurity>
  <Lines>63</Lines>
  <Paragraphs>18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2023-07-16T12:50:00Z</dcterms:created>
  <dcterms:modified xsi:type="dcterms:W3CDTF">2023-07-16T12:50:00Z</dcterms:modified>
</cp:coreProperties>
</file>